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7AA" w:rsidRPr="003E1EFC" w:rsidRDefault="00B407AA" w:rsidP="00FB0FC5">
      <w:pPr>
        <w:spacing w:line="276" w:lineRule="auto"/>
        <w:jc w:val="both"/>
        <w:rPr>
          <w:rFonts w:ascii="Arial" w:hAnsi="Arial" w:cs="Arial"/>
          <w:b/>
        </w:rPr>
      </w:pPr>
      <w:r w:rsidRPr="003E1EFC">
        <w:rPr>
          <w:rFonts w:ascii="Arial" w:hAnsi="Arial" w:cs="Arial"/>
          <w:b/>
        </w:rPr>
        <w:t>RE</w:t>
      </w:r>
      <w:r w:rsidR="00DA7880">
        <w:rPr>
          <w:rFonts w:ascii="Arial" w:hAnsi="Arial" w:cs="Arial"/>
          <w:b/>
        </w:rPr>
        <w:t>SOLUCIÓN 110</w:t>
      </w:r>
      <w:r w:rsidR="0078201B">
        <w:rPr>
          <w:rFonts w:ascii="Arial" w:hAnsi="Arial" w:cs="Arial"/>
          <w:b/>
        </w:rPr>
        <w:t xml:space="preserve">/2021, DE </w:t>
      </w:r>
      <w:r w:rsidR="00BF770D">
        <w:rPr>
          <w:rFonts w:ascii="Arial" w:hAnsi="Arial" w:cs="Arial"/>
          <w:b/>
        </w:rPr>
        <w:t>4 DE AGOSTO</w:t>
      </w:r>
      <w:r w:rsidR="00FB0FC5">
        <w:rPr>
          <w:rFonts w:ascii="Arial" w:hAnsi="Arial" w:cs="Arial"/>
          <w:b/>
        </w:rPr>
        <w:t xml:space="preserve">, DE LA COMISIÓN VASCA DE ACCESO </w:t>
      </w:r>
      <w:r w:rsidRPr="003E1EFC">
        <w:rPr>
          <w:rFonts w:ascii="Arial" w:hAnsi="Arial" w:cs="Arial"/>
          <w:b/>
        </w:rPr>
        <w:t>A LA INFORMACIÓN PÚBLICA</w:t>
      </w:r>
    </w:p>
    <w:p w:rsidR="00B407AA" w:rsidRDefault="00B407AA" w:rsidP="00FB0FC5">
      <w:pPr>
        <w:spacing w:line="276" w:lineRule="auto"/>
        <w:jc w:val="both"/>
        <w:rPr>
          <w:rFonts w:ascii="Arial" w:hAnsi="Arial" w:cs="Arial"/>
        </w:rPr>
      </w:pPr>
    </w:p>
    <w:p w:rsidR="00B407AA" w:rsidRPr="00B407AA" w:rsidRDefault="00B407AA" w:rsidP="00FB0FC5">
      <w:pPr>
        <w:spacing w:line="276" w:lineRule="auto"/>
        <w:jc w:val="both"/>
        <w:rPr>
          <w:rFonts w:ascii="Arial" w:hAnsi="Arial" w:cs="Arial"/>
        </w:rPr>
      </w:pPr>
      <w:r w:rsidRPr="003E1EFC">
        <w:rPr>
          <w:rFonts w:ascii="Arial" w:hAnsi="Arial" w:cs="Arial"/>
          <w:b/>
        </w:rPr>
        <w:t>Expediente</w:t>
      </w:r>
      <w:r w:rsidR="00DA7880">
        <w:rPr>
          <w:rFonts w:ascii="Arial" w:hAnsi="Arial" w:cs="Arial"/>
        </w:rPr>
        <w:t>: 2021/000338</w:t>
      </w:r>
    </w:p>
    <w:p w:rsidR="00B407AA" w:rsidRDefault="00B407AA" w:rsidP="00FB0FC5">
      <w:pPr>
        <w:spacing w:line="276" w:lineRule="auto"/>
        <w:jc w:val="both"/>
        <w:rPr>
          <w:rFonts w:ascii="Arial" w:hAnsi="Arial" w:cs="Arial"/>
        </w:rPr>
      </w:pPr>
    </w:p>
    <w:p w:rsidR="00B407AA" w:rsidRDefault="00B407AA" w:rsidP="0035545C">
      <w:pPr>
        <w:spacing w:line="276" w:lineRule="auto"/>
        <w:jc w:val="both"/>
        <w:rPr>
          <w:rFonts w:ascii="Arial" w:hAnsi="Arial" w:cs="Arial"/>
          <w:color w:val="000000" w:themeColor="text1"/>
        </w:rPr>
      </w:pPr>
      <w:r w:rsidRPr="00F37272">
        <w:rPr>
          <w:rFonts w:ascii="Arial" w:hAnsi="Arial" w:cs="Arial"/>
          <w:b/>
          <w:color w:val="000000" w:themeColor="text1"/>
        </w:rPr>
        <w:t>Asunto</w:t>
      </w:r>
      <w:r w:rsidRPr="00F37272">
        <w:rPr>
          <w:rFonts w:ascii="Arial" w:hAnsi="Arial" w:cs="Arial"/>
          <w:color w:val="000000" w:themeColor="text1"/>
        </w:rPr>
        <w:t xml:space="preserve">: Reclamación presentada </w:t>
      </w:r>
      <w:r w:rsidRPr="00DA7880">
        <w:rPr>
          <w:rFonts w:ascii="Arial" w:hAnsi="Arial" w:cs="Arial"/>
          <w:color w:val="000000" w:themeColor="text1"/>
        </w:rPr>
        <w:t>por D.</w:t>
      </w:r>
      <w:r w:rsidR="00DA7880" w:rsidRPr="00DA7880">
        <w:rPr>
          <w:rFonts w:ascii="Arial" w:hAnsi="Arial" w:cs="Arial"/>
          <w:color w:val="000000" w:themeColor="text1"/>
        </w:rPr>
        <w:t xml:space="preserve"> </w:t>
      </w:r>
      <w:r w:rsidR="00607429">
        <w:rPr>
          <w:rFonts w:ascii="Arial" w:hAnsi="Arial" w:cs="Arial"/>
          <w:color w:val="000000" w:themeColor="text1"/>
        </w:rPr>
        <w:t>…………………………</w:t>
      </w:r>
      <w:r w:rsidR="00DA7880">
        <w:rPr>
          <w:color w:val="000000" w:themeColor="text1"/>
        </w:rPr>
        <w:t xml:space="preserve"> </w:t>
      </w:r>
      <w:r w:rsidR="003E1EFC" w:rsidRPr="00F37272">
        <w:rPr>
          <w:rFonts w:ascii="Arial" w:hAnsi="Arial" w:cs="Arial"/>
          <w:color w:val="000000" w:themeColor="text1"/>
        </w:rPr>
        <w:t xml:space="preserve">contra </w:t>
      </w:r>
      <w:r w:rsidRPr="00F37272">
        <w:rPr>
          <w:rFonts w:ascii="Arial" w:hAnsi="Arial" w:cs="Arial"/>
          <w:color w:val="000000" w:themeColor="text1"/>
        </w:rPr>
        <w:t>la</w:t>
      </w:r>
      <w:r w:rsidR="0094763C" w:rsidRPr="00F37272">
        <w:rPr>
          <w:rFonts w:ascii="Arial" w:hAnsi="Arial" w:cs="Arial"/>
          <w:color w:val="000000" w:themeColor="text1"/>
        </w:rPr>
        <w:t xml:space="preserve"> </w:t>
      </w:r>
      <w:r w:rsidR="00DA7880">
        <w:rPr>
          <w:rFonts w:ascii="Arial" w:hAnsi="Arial" w:cs="Arial"/>
          <w:color w:val="000000" w:themeColor="text1"/>
        </w:rPr>
        <w:t>desestimación presunta de su solicitud de información ante el Departamento de Economía y Hacienda del Gobierno Vasco</w:t>
      </w:r>
    </w:p>
    <w:p w:rsidR="00E81FC1" w:rsidRPr="00F37272" w:rsidRDefault="00E81FC1" w:rsidP="0035545C">
      <w:pPr>
        <w:spacing w:line="276" w:lineRule="auto"/>
        <w:jc w:val="both"/>
        <w:rPr>
          <w:rFonts w:ascii="Arial" w:hAnsi="Arial" w:cs="Arial"/>
          <w:color w:val="000000" w:themeColor="text1"/>
        </w:rPr>
      </w:pPr>
    </w:p>
    <w:p w:rsidR="00B407AA" w:rsidRPr="0094763C" w:rsidRDefault="00B407AA" w:rsidP="00FB0FC5">
      <w:pPr>
        <w:spacing w:line="276" w:lineRule="auto"/>
        <w:jc w:val="both"/>
        <w:rPr>
          <w:rFonts w:ascii="Arial" w:hAnsi="Arial" w:cs="Arial"/>
          <w:b/>
        </w:rPr>
      </w:pPr>
    </w:p>
    <w:p w:rsidR="00B407AA" w:rsidRDefault="00B407AA" w:rsidP="00FB0FC5">
      <w:pPr>
        <w:spacing w:line="276" w:lineRule="auto"/>
        <w:jc w:val="center"/>
        <w:rPr>
          <w:rFonts w:ascii="Arial" w:hAnsi="Arial" w:cs="Arial"/>
          <w:b/>
        </w:rPr>
      </w:pPr>
      <w:r w:rsidRPr="0094763C">
        <w:rPr>
          <w:rFonts w:ascii="Arial" w:hAnsi="Arial" w:cs="Arial"/>
          <w:b/>
        </w:rPr>
        <w:t>ANTECEDENTES</w:t>
      </w:r>
      <w:r w:rsidR="00FB0FC5">
        <w:rPr>
          <w:rFonts w:ascii="Arial" w:hAnsi="Arial" w:cs="Arial"/>
          <w:b/>
        </w:rPr>
        <w:t xml:space="preserve"> DE HECHO</w:t>
      </w:r>
    </w:p>
    <w:p w:rsidR="0094763C" w:rsidRPr="0094763C" w:rsidRDefault="0094763C" w:rsidP="00FB0FC5">
      <w:pPr>
        <w:spacing w:line="276" w:lineRule="auto"/>
        <w:jc w:val="both"/>
        <w:rPr>
          <w:rFonts w:ascii="Arial" w:hAnsi="Arial" w:cs="Arial"/>
          <w:b/>
        </w:rPr>
      </w:pPr>
    </w:p>
    <w:p w:rsidR="00DA7880" w:rsidRDefault="00B407AA" w:rsidP="00FB0FC5">
      <w:pPr>
        <w:spacing w:line="276" w:lineRule="auto"/>
        <w:jc w:val="both"/>
        <w:rPr>
          <w:rFonts w:ascii="Arial" w:hAnsi="Arial" w:cs="Arial"/>
        </w:rPr>
      </w:pPr>
      <w:r w:rsidRPr="00B407AA">
        <w:rPr>
          <w:rFonts w:ascii="Arial" w:hAnsi="Arial" w:cs="Arial"/>
        </w:rPr>
        <w:t xml:space="preserve">1.- Con fecha </w:t>
      </w:r>
      <w:r w:rsidR="00DA7880">
        <w:rPr>
          <w:rFonts w:ascii="Arial" w:hAnsi="Arial" w:cs="Arial"/>
        </w:rPr>
        <w:t>8 de junio</w:t>
      </w:r>
      <w:r w:rsidR="0094763C">
        <w:rPr>
          <w:rFonts w:ascii="Arial" w:hAnsi="Arial" w:cs="Arial"/>
        </w:rPr>
        <w:t xml:space="preserve"> de 2021</w:t>
      </w:r>
      <w:r w:rsidRPr="00B407AA">
        <w:rPr>
          <w:rFonts w:ascii="Arial" w:hAnsi="Arial" w:cs="Arial"/>
        </w:rPr>
        <w:t xml:space="preserve">, </w:t>
      </w:r>
      <w:r w:rsidR="00233B48" w:rsidRPr="00B407AA">
        <w:rPr>
          <w:rFonts w:ascii="Arial" w:hAnsi="Arial" w:cs="Arial"/>
        </w:rPr>
        <w:t>D.</w:t>
      </w:r>
      <w:r w:rsidR="00233B48">
        <w:rPr>
          <w:rFonts w:ascii="Arial" w:hAnsi="Arial" w:cs="Arial"/>
        </w:rPr>
        <w:t xml:space="preserve"> </w:t>
      </w:r>
      <w:r w:rsidR="00607429">
        <w:rPr>
          <w:rFonts w:ascii="Arial" w:hAnsi="Arial" w:cs="Arial"/>
          <w:color w:val="000000" w:themeColor="text1"/>
        </w:rPr>
        <w:t>…………………………</w:t>
      </w:r>
      <w:r w:rsidR="00233B48" w:rsidRPr="00DA7880">
        <w:rPr>
          <w:rFonts w:ascii="Arial" w:hAnsi="Arial" w:cs="Arial"/>
        </w:rPr>
        <w:t xml:space="preserve"> </w:t>
      </w:r>
      <w:r w:rsidR="00233B48">
        <w:rPr>
          <w:rFonts w:ascii="Arial" w:hAnsi="Arial" w:cs="Arial"/>
        </w:rPr>
        <w:t>present</w:t>
      </w:r>
      <w:r w:rsidR="00CE11D4">
        <w:rPr>
          <w:rFonts w:ascii="Arial" w:hAnsi="Arial" w:cs="Arial"/>
        </w:rPr>
        <w:t>ó escrito ante el</w:t>
      </w:r>
      <w:r w:rsidR="00233B48">
        <w:rPr>
          <w:rFonts w:ascii="Arial" w:hAnsi="Arial" w:cs="Arial"/>
        </w:rPr>
        <w:t xml:space="preserve"> Departamento de Economía y Hacienda al que adjuntaba reclamación dirigida a </w:t>
      </w:r>
      <w:r w:rsidRPr="00B407AA">
        <w:rPr>
          <w:rFonts w:ascii="Arial" w:hAnsi="Arial" w:cs="Arial"/>
        </w:rPr>
        <w:t>esta Comisión Vasca de Acceso</w:t>
      </w:r>
      <w:r w:rsidR="00FB0FC5">
        <w:rPr>
          <w:rFonts w:ascii="Arial" w:hAnsi="Arial" w:cs="Arial"/>
        </w:rPr>
        <w:t xml:space="preserve"> </w:t>
      </w:r>
      <w:r w:rsidRPr="00B407AA">
        <w:rPr>
          <w:rFonts w:ascii="Arial" w:hAnsi="Arial" w:cs="Arial"/>
        </w:rPr>
        <w:t>a la Información Pública</w:t>
      </w:r>
      <w:r w:rsidR="00233B48">
        <w:rPr>
          <w:rFonts w:ascii="Arial" w:hAnsi="Arial" w:cs="Arial"/>
        </w:rPr>
        <w:t xml:space="preserve"> cuyo contenido es el siguiente</w:t>
      </w:r>
      <w:r w:rsidR="00DA7880">
        <w:rPr>
          <w:rFonts w:ascii="Arial" w:hAnsi="Arial" w:cs="Arial"/>
        </w:rPr>
        <w:t>:</w:t>
      </w:r>
    </w:p>
    <w:p w:rsidR="00DA7880" w:rsidRDefault="00DA7880" w:rsidP="00FB0FC5">
      <w:pPr>
        <w:spacing w:line="276" w:lineRule="auto"/>
        <w:jc w:val="both"/>
        <w:rPr>
          <w:rFonts w:ascii="Arial" w:hAnsi="Arial" w:cs="Arial"/>
        </w:rPr>
      </w:pPr>
    </w:p>
    <w:p w:rsidR="00DA7880" w:rsidRPr="00CF2CC5" w:rsidRDefault="00CF2CC5" w:rsidP="00CF2CC5">
      <w:pPr>
        <w:spacing w:line="276" w:lineRule="auto"/>
        <w:ind w:left="851" w:right="559"/>
        <w:jc w:val="both"/>
        <w:rPr>
          <w:rFonts w:ascii="Arial" w:hAnsi="Arial" w:cs="Arial"/>
          <w:i/>
          <w:sz w:val="22"/>
          <w:szCs w:val="22"/>
        </w:rPr>
      </w:pPr>
      <w:r>
        <w:rPr>
          <w:rFonts w:ascii="Arial" w:hAnsi="Arial" w:cs="Arial"/>
          <w:i/>
          <w:sz w:val="22"/>
          <w:szCs w:val="22"/>
        </w:rPr>
        <w:t>“</w:t>
      </w:r>
      <w:r w:rsidR="00DA7880" w:rsidRPr="00CF2CC5">
        <w:rPr>
          <w:rFonts w:ascii="Arial" w:hAnsi="Arial" w:cs="Arial"/>
          <w:i/>
          <w:sz w:val="22"/>
          <w:szCs w:val="22"/>
        </w:rPr>
        <w:t>Que en fecha 16 de diciembre de 2020 presenté reclamación previa a la vía contencioso-Administrativa ante esta comisión contra la resolución recaída en el expediente: 2020/000241, sobre competencia para paralizar el expediente de apremio con Diputación Foral de Álava.</w:t>
      </w:r>
    </w:p>
    <w:p w:rsidR="00DA7880" w:rsidRPr="00CF2CC5" w:rsidRDefault="00DA7880" w:rsidP="00CF2CC5">
      <w:pPr>
        <w:spacing w:line="276" w:lineRule="auto"/>
        <w:ind w:left="851" w:right="559"/>
        <w:jc w:val="both"/>
        <w:rPr>
          <w:rFonts w:ascii="Arial" w:hAnsi="Arial" w:cs="Arial"/>
          <w:i/>
          <w:sz w:val="22"/>
          <w:szCs w:val="22"/>
        </w:rPr>
      </w:pPr>
      <w:r w:rsidRPr="00CF2CC5">
        <w:rPr>
          <w:rFonts w:ascii="Arial" w:hAnsi="Arial" w:cs="Arial"/>
          <w:i/>
          <w:sz w:val="22"/>
          <w:szCs w:val="22"/>
        </w:rPr>
        <w:t>Que transcurrido más de seis meses, por parte de esta Comisión no ha resuelto la reclamaci</w:t>
      </w:r>
      <w:r w:rsidR="00CF2CC5" w:rsidRPr="00CF2CC5">
        <w:rPr>
          <w:rFonts w:ascii="Arial" w:hAnsi="Arial" w:cs="Arial"/>
          <w:i/>
          <w:sz w:val="22"/>
          <w:szCs w:val="22"/>
        </w:rPr>
        <w:t>ón previa, siendo obligación de la Administración de resolver conforme al artículo del artículo 21 de la Ley 39/2015, interesando de la administración la resolución de la reclamación previa.</w:t>
      </w:r>
    </w:p>
    <w:p w:rsidR="00CF2CC5" w:rsidRPr="00CF2CC5" w:rsidRDefault="00CF2CC5" w:rsidP="00CF2CC5">
      <w:pPr>
        <w:spacing w:line="276" w:lineRule="auto"/>
        <w:ind w:left="851" w:right="559"/>
        <w:jc w:val="both"/>
        <w:rPr>
          <w:rFonts w:ascii="Arial" w:hAnsi="Arial" w:cs="Arial"/>
          <w:i/>
          <w:sz w:val="22"/>
          <w:szCs w:val="22"/>
        </w:rPr>
      </w:pPr>
      <w:r w:rsidRPr="00CF2CC5">
        <w:rPr>
          <w:rFonts w:ascii="Arial" w:hAnsi="Arial" w:cs="Arial"/>
          <w:i/>
          <w:sz w:val="22"/>
          <w:szCs w:val="22"/>
        </w:rPr>
        <w:t xml:space="preserve">Por lo que </w:t>
      </w:r>
    </w:p>
    <w:p w:rsidR="00CF2CC5" w:rsidRDefault="00CF2CC5" w:rsidP="00CF2CC5">
      <w:pPr>
        <w:spacing w:line="276" w:lineRule="auto"/>
        <w:ind w:left="851" w:right="559"/>
        <w:jc w:val="both"/>
        <w:rPr>
          <w:rFonts w:ascii="Arial" w:hAnsi="Arial" w:cs="Arial"/>
          <w:i/>
          <w:sz w:val="22"/>
          <w:szCs w:val="22"/>
        </w:rPr>
      </w:pPr>
      <w:r w:rsidRPr="00CF2CC5">
        <w:rPr>
          <w:rFonts w:ascii="Arial" w:hAnsi="Arial" w:cs="Arial"/>
          <w:i/>
          <w:sz w:val="22"/>
          <w:szCs w:val="22"/>
        </w:rPr>
        <w:t>AL A LA COMISIÓN VASCA DE ACCESO A LA INFORMACIÓN PÚBLICA, SOLICITA: Tenga por presentado este escrito, por realizadas las anteriores manifestaciones, requiriendo a la Administración, la resolución de la reclamación previa, que consta en cuerpo de este escrito.</w:t>
      </w:r>
      <w:r>
        <w:rPr>
          <w:rFonts w:ascii="Arial" w:hAnsi="Arial" w:cs="Arial"/>
          <w:i/>
          <w:sz w:val="22"/>
          <w:szCs w:val="22"/>
        </w:rPr>
        <w:t>”</w:t>
      </w:r>
    </w:p>
    <w:p w:rsidR="00343BDD" w:rsidRDefault="00343BDD" w:rsidP="00CF2CC5">
      <w:pPr>
        <w:spacing w:line="276" w:lineRule="auto"/>
        <w:ind w:right="559"/>
        <w:jc w:val="both"/>
        <w:rPr>
          <w:rFonts w:ascii="Arial" w:hAnsi="Arial" w:cs="Arial"/>
        </w:rPr>
      </w:pPr>
    </w:p>
    <w:p w:rsidR="00CF2CC5" w:rsidRDefault="00343BDD" w:rsidP="00AD3734">
      <w:pPr>
        <w:spacing w:line="276" w:lineRule="auto"/>
        <w:ind w:right="-8"/>
        <w:jc w:val="both"/>
        <w:rPr>
          <w:rFonts w:ascii="Arial" w:hAnsi="Arial" w:cs="Arial"/>
        </w:rPr>
      </w:pPr>
      <w:r>
        <w:rPr>
          <w:rFonts w:ascii="Arial" w:hAnsi="Arial" w:cs="Arial"/>
        </w:rPr>
        <w:t xml:space="preserve">2.- </w:t>
      </w:r>
      <w:r w:rsidR="00AD3734" w:rsidRPr="00AD3734">
        <w:rPr>
          <w:rFonts w:ascii="Arial" w:hAnsi="Arial" w:cs="Arial"/>
        </w:rPr>
        <w:t xml:space="preserve">Con fecha </w:t>
      </w:r>
      <w:r w:rsidR="00AD3734">
        <w:rPr>
          <w:rFonts w:ascii="Arial" w:hAnsi="Arial" w:cs="Arial"/>
        </w:rPr>
        <w:t>22 de junio de 2021</w:t>
      </w:r>
      <w:r w:rsidR="00AD3734" w:rsidRPr="00AD3734">
        <w:rPr>
          <w:rFonts w:ascii="Arial" w:hAnsi="Arial" w:cs="Arial"/>
        </w:rPr>
        <w:t xml:space="preserve">, esta Comisión da traslado electrónico de la citada reclamación a la Dirección de Servicios del Departamento de </w:t>
      </w:r>
      <w:r w:rsidR="00AD3734">
        <w:rPr>
          <w:rFonts w:ascii="Arial" w:hAnsi="Arial" w:cs="Arial"/>
        </w:rPr>
        <w:t>Economía y Hacienda</w:t>
      </w:r>
      <w:r w:rsidR="00AD3734" w:rsidRPr="00AD3734">
        <w:rPr>
          <w:rFonts w:ascii="Arial" w:hAnsi="Arial" w:cs="Arial"/>
        </w:rPr>
        <w:t xml:space="preserve"> del Gobierno Vasco, con objeto de que, en el plazo de diez días hábiles a contar desde el siguiente al de su notificación, informe sobre el asunto y aporte cuanta documentación fuera relevante para la resolución del mismo. No obstante, pasado el plazo otorgado al efecto, a la fecha de la presente Resolución, la citada Dirección de Servicios no ha realizado alegación alguna. Atendiendo a la siempre necesaria toma en consideración de las variables que pudieran afectar al caso que nos ocupa, hemos de manifestar que hubiera sido deseable conocer el criterio del Departamento, quien podría haber aportado elementos de juicio relevantes para decidir acerca del supuesto aquí planteado. Sin embargo, aunque es de lamentar la falta de colaboración con esta Comisión, la ausencia de alegaciones por parte de dicho Departamento no impide res</w:t>
      </w:r>
      <w:r w:rsidR="00AD3734">
        <w:rPr>
          <w:rFonts w:ascii="Arial" w:hAnsi="Arial" w:cs="Arial"/>
        </w:rPr>
        <w:t>olver la reclamación presentada.</w:t>
      </w:r>
    </w:p>
    <w:p w:rsidR="0070222B" w:rsidRDefault="00AD3734" w:rsidP="00FB0FC5">
      <w:pPr>
        <w:spacing w:line="276" w:lineRule="auto"/>
        <w:jc w:val="both"/>
        <w:rPr>
          <w:rFonts w:ascii="Arial" w:hAnsi="Arial" w:cs="Arial"/>
        </w:rPr>
      </w:pPr>
      <w:r>
        <w:rPr>
          <w:rFonts w:ascii="Arial" w:hAnsi="Arial" w:cs="Arial"/>
        </w:rPr>
        <w:lastRenderedPageBreak/>
        <w:t>3.- E</w:t>
      </w:r>
      <w:r w:rsidR="00AC7F0D">
        <w:rPr>
          <w:rFonts w:ascii="Arial" w:hAnsi="Arial" w:cs="Arial"/>
        </w:rPr>
        <w:t>sta Comisi</w:t>
      </w:r>
      <w:r w:rsidR="0070222B">
        <w:rPr>
          <w:rFonts w:ascii="Arial" w:hAnsi="Arial" w:cs="Arial"/>
        </w:rPr>
        <w:t xml:space="preserve">ón ha podido constatar </w:t>
      </w:r>
      <w:r w:rsidR="00AC7F0D">
        <w:rPr>
          <w:rFonts w:ascii="Arial" w:hAnsi="Arial" w:cs="Arial"/>
        </w:rPr>
        <w:t xml:space="preserve">a través </w:t>
      </w:r>
      <w:r w:rsidR="00B12580">
        <w:rPr>
          <w:rFonts w:ascii="Arial" w:hAnsi="Arial" w:cs="Arial"/>
        </w:rPr>
        <w:t xml:space="preserve">de </w:t>
      </w:r>
      <w:r w:rsidR="0070222B">
        <w:rPr>
          <w:rFonts w:ascii="Arial" w:hAnsi="Arial" w:cs="Arial"/>
        </w:rPr>
        <w:t>Gardena, portal de transparencia del</w:t>
      </w:r>
      <w:r w:rsidR="00AC7F0D">
        <w:rPr>
          <w:rFonts w:ascii="Arial" w:hAnsi="Arial" w:cs="Arial"/>
        </w:rPr>
        <w:t xml:space="preserve"> Gobierno</w:t>
      </w:r>
      <w:r w:rsidR="0070222B">
        <w:rPr>
          <w:rFonts w:ascii="Arial" w:hAnsi="Arial" w:cs="Arial"/>
        </w:rPr>
        <w:t xml:space="preserve"> Vasco que, en relación con el expediente 2020/000241, recayó resolución del Departamento de Economía y Hacienda del Gobierno Vasco. </w:t>
      </w:r>
      <w:r w:rsidR="004D2323">
        <w:rPr>
          <w:rFonts w:ascii="Arial" w:hAnsi="Arial" w:cs="Arial"/>
        </w:rPr>
        <w:t>Asimismo</w:t>
      </w:r>
      <w:r w:rsidR="0070222B">
        <w:rPr>
          <w:rFonts w:ascii="Arial" w:hAnsi="Arial" w:cs="Arial"/>
        </w:rPr>
        <w:t>, dicha página informa que la solicitud formulada se trataba de “</w:t>
      </w:r>
      <w:r w:rsidR="0070222B" w:rsidRPr="0070222B">
        <w:rPr>
          <w:rFonts w:ascii="Arial" w:hAnsi="Arial" w:cs="Arial"/>
          <w:i/>
        </w:rPr>
        <w:t xml:space="preserve">Un certificado en el que de forma clara y expresa se diga </w:t>
      </w:r>
      <w:r w:rsidR="004D2323" w:rsidRPr="0070222B">
        <w:rPr>
          <w:rFonts w:ascii="Arial" w:hAnsi="Arial" w:cs="Arial"/>
          <w:i/>
        </w:rPr>
        <w:t>cuál</w:t>
      </w:r>
      <w:r w:rsidR="0070222B" w:rsidRPr="0070222B">
        <w:rPr>
          <w:rFonts w:ascii="Arial" w:hAnsi="Arial" w:cs="Arial"/>
          <w:i/>
        </w:rPr>
        <w:t xml:space="preserve"> de las dos Administraciones, Comunidad Autónoma Vasca o Diputación Foral de </w:t>
      </w:r>
      <w:r w:rsidR="004D2323" w:rsidRPr="0070222B">
        <w:rPr>
          <w:rFonts w:ascii="Arial" w:hAnsi="Arial" w:cs="Arial"/>
          <w:i/>
        </w:rPr>
        <w:t>Álava</w:t>
      </w:r>
      <w:r w:rsidR="0070222B" w:rsidRPr="0070222B">
        <w:rPr>
          <w:rFonts w:ascii="Arial" w:hAnsi="Arial" w:cs="Arial"/>
          <w:i/>
        </w:rPr>
        <w:t>, tenía competencia para declarar la paralización de un expediente de apremio, y en base a que artículo o artículos del citado Convenio de 15/07/1998. Dpto. Economía y Hacienda PF Hombre Postal Acceso total</w:t>
      </w:r>
      <w:r w:rsidR="0070222B">
        <w:rPr>
          <w:rFonts w:ascii="Arial" w:hAnsi="Arial" w:cs="Arial"/>
          <w:i/>
        </w:rPr>
        <w:t xml:space="preserve">.” </w:t>
      </w:r>
      <w:r w:rsidR="0070222B">
        <w:rPr>
          <w:rFonts w:ascii="Arial" w:hAnsi="Arial" w:cs="Arial"/>
        </w:rPr>
        <w:t>No obstante</w:t>
      </w:r>
      <w:r w:rsidR="007F157C">
        <w:rPr>
          <w:rFonts w:ascii="Arial" w:hAnsi="Arial" w:cs="Arial"/>
        </w:rPr>
        <w:t xml:space="preserve">, </w:t>
      </w:r>
      <w:r w:rsidR="0070222B">
        <w:rPr>
          <w:rFonts w:ascii="Arial" w:hAnsi="Arial" w:cs="Arial"/>
        </w:rPr>
        <w:t>esta Comisión no puede conocer el contenido concreto de la Resolución, de carácter estimatorio, por cuanto que la misma no aparece adjunta a la informaci</w:t>
      </w:r>
      <w:r w:rsidR="0081483E">
        <w:rPr>
          <w:rFonts w:ascii="Arial" w:hAnsi="Arial" w:cs="Arial"/>
        </w:rPr>
        <w:t>ón proporcionada. Seguidamente se adjunta el enlace a la citada información:</w:t>
      </w:r>
    </w:p>
    <w:p w:rsidR="0070222B" w:rsidRDefault="00806F56" w:rsidP="0081483E">
      <w:pPr>
        <w:spacing w:line="276" w:lineRule="auto"/>
        <w:rPr>
          <w:rFonts w:ascii="Arial" w:hAnsi="Arial" w:cs="Arial"/>
        </w:rPr>
      </w:pPr>
      <w:hyperlink r:id="rId8" w:history="1">
        <w:r w:rsidR="0081483E" w:rsidRPr="003C21F6">
          <w:rPr>
            <w:rStyle w:val="Hipervnculo"/>
            <w:rFonts w:ascii="Arial" w:hAnsi="Arial" w:cs="Arial"/>
          </w:rPr>
          <w:t>https://www.gardena.euskadi.eus/y09-contents/es/contenidos/informacion/expedientes_acceso_informacion/es_def/index.shtml</w:t>
        </w:r>
      </w:hyperlink>
    </w:p>
    <w:p w:rsidR="0081483E" w:rsidRPr="0070222B" w:rsidRDefault="0081483E" w:rsidP="00FB0FC5">
      <w:pPr>
        <w:spacing w:line="276" w:lineRule="auto"/>
        <w:jc w:val="both"/>
        <w:rPr>
          <w:rFonts w:ascii="Arial" w:hAnsi="Arial" w:cs="Arial"/>
        </w:rPr>
      </w:pPr>
    </w:p>
    <w:p w:rsidR="0070222B" w:rsidRDefault="0081483E" w:rsidP="00FB0FC5">
      <w:pPr>
        <w:spacing w:line="276" w:lineRule="auto"/>
        <w:jc w:val="both"/>
        <w:rPr>
          <w:rFonts w:ascii="Arial" w:hAnsi="Arial" w:cs="Arial"/>
        </w:rPr>
      </w:pPr>
      <w:r w:rsidRPr="0081483E">
        <w:rPr>
          <w:rFonts w:ascii="Arial" w:hAnsi="Arial" w:cs="Arial"/>
        </w:rPr>
        <w:t xml:space="preserve">4.- Del examen de la reclamación presentada por el Sr. </w:t>
      </w:r>
      <w:r w:rsidR="00607429">
        <w:rPr>
          <w:rFonts w:ascii="Arial" w:hAnsi="Arial" w:cs="Arial"/>
        </w:rPr>
        <w:t>……</w:t>
      </w:r>
      <w:r w:rsidRPr="0081483E">
        <w:rPr>
          <w:rFonts w:ascii="Arial" w:hAnsi="Arial" w:cs="Arial"/>
        </w:rPr>
        <w:t>, esta Comisión ha advertido que, ciertamente, la afirmación relativa a haber presentado reclamación con fecha 16 de diciembre de 2020 es correcta tras el correspondiente examen del registro de entrada, si bien dicha reclamación había quedado traspapelada.</w:t>
      </w:r>
    </w:p>
    <w:p w:rsidR="0081483E" w:rsidRDefault="0081483E" w:rsidP="00FB0FC5">
      <w:pPr>
        <w:spacing w:line="276" w:lineRule="auto"/>
        <w:jc w:val="both"/>
        <w:rPr>
          <w:rFonts w:ascii="Arial" w:hAnsi="Arial" w:cs="Arial"/>
        </w:rPr>
      </w:pPr>
    </w:p>
    <w:p w:rsidR="00AD3734" w:rsidRDefault="00AD3734" w:rsidP="00FB0FC5">
      <w:pPr>
        <w:spacing w:line="276" w:lineRule="auto"/>
        <w:jc w:val="both"/>
        <w:rPr>
          <w:rFonts w:ascii="Arial" w:hAnsi="Arial" w:cs="Arial"/>
        </w:rPr>
      </w:pPr>
    </w:p>
    <w:p w:rsidR="006A4E63" w:rsidRDefault="00F37272" w:rsidP="00F37272">
      <w:pPr>
        <w:spacing w:line="276" w:lineRule="auto"/>
        <w:jc w:val="center"/>
        <w:rPr>
          <w:rFonts w:ascii="Arial" w:hAnsi="Arial" w:cs="Arial"/>
          <w:b/>
        </w:rPr>
      </w:pPr>
      <w:r w:rsidRPr="00F37272">
        <w:rPr>
          <w:rFonts w:ascii="Arial" w:hAnsi="Arial" w:cs="Arial"/>
          <w:b/>
        </w:rPr>
        <w:t>FUNDAMENTOS JURÍDICOS</w:t>
      </w:r>
    </w:p>
    <w:p w:rsidR="00F37272" w:rsidRDefault="00F37272" w:rsidP="00F37272">
      <w:pPr>
        <w:spacing w:line="276" w:lineRule="auto"/>
        <w:jc w:val="center"/>
        <w:rPr>
          <w:rFonts w:ascii="Arial" w:hAnsi="Arial" w:cs="Arial"/>
          <w:b/>
        </w:rPr>
      </w:pPr>
    </w:p>
    <w:p w:rsidR="00B407AA" w:rsidRPr="00B407AA" w:rsidRDefault="00F37272" w:rsidP="00FB0FC5">
      <w:pPr>
        <w:spacing w:line="276" w:lineRule="auto"/>
        <w:jc w:val="both"/>
        <w:rPr>
          <w:rFonts w:ascii="Arial" w:hAnsi="Arial" w:cs="Arial"/>
        </w:rPr>
      </w:pPr>
      <w:r w:rsidRPr="00F37272">
        <w:rPr>
          <w:rFonts w:ascii="Arial" w:hAnsi="Arial" w:cs="Arial"/>
        </w:rPr>
        <w:t>1</w:t>
      </w:r>
      <w:r>
        <w:rPr>
          <w:rFonts w:ascii="Arial" w:hAnsi="Arial" w:cs="Arial"/>
        </w:rPr>
        <w:t xml:space="preserve">.- De conformidad con lo establecido en el artículo 1 del Decreto 128/2016, de 13 de septiembre, de la Comisión Vasca de Acceso a la Información Pública, la citada </w:t>
      </w:r>
      <w:r w:rsidR="00B407AA" w:rsidRPr="00B407AA">
        <w:rPr>
          <w:rFonts w:ascii="Arial" w:hAnsi="Arial" w:cs="Arial"/>
        </w:rPr>
        <w:t>Comisión asume en la Comunidad Autónoma de Euskadi las funciones previstas en</w:t>
      </w:r>
      <w:r>
        <w:rPr>
          <w:rFonts w:ascii="Arial" w:hAnsi="Arial" w:cs="Arial"/>
        </w:rPr>
        <w:t xml:space="preserve"> </w:t>
      </w:r>
      <w:r w:rsidR="00B407AA" w:rsidRPr="00B407AA">
        <w:rPr>
          <w:rFonts w:ascii="Arial" w:hAnsi="Arial" w:cs="Arial"/>
        </w:rPr>
        <w:t>la disposición adicional cuarta de la Ley 19/2013, de 9 de diciembre, de Transparencia,</w:t>
      </w:r>
      <w:r>
        <w:rPr>
          <w:rFonts w:ascii="Arial" w:hAnsi="Arial" w:cs="Arial"/>
        </w:rPr>
        <w:t xml:space="preserve"> </w:t>
      </w:r>
      <w:r w:rsidR="00B407AA" w:rsidRPr="00B407AA">
        <w:rPr>
          <w:rFonts w:ascii="Arial" w:hAnsi="Arial" w:cs="Arial"/>
        </w:rPr>
        <w:t>Acceso a la Información Pública y Buen Gobierno.</w:t>
      </w:r>
    </w:p>
    <w:p w:rsidR="00F37272" w:rsidRDefault="00F37272" w:rsidP="00FB0FC5">
      <w:pPr>
        <w:spacing w:line="276" w:lineRule="auto"/>
        <w:jc w:val="both"/>
        <w:rPr>
          <w:rFonts w:ascii="Arial" w:hAnsi="Arial" w:cs="Arial"/>
        </w:rPr>
      </w:pPr>
    </w:p>
    <w:p w:rsidR="00B407AA" w:rsidRPr="00B407AA" w:rsidRDefault="00B407AA" w:rsidP="00FB0FC5">
      <w:pPr>
        <w:spacing w:line="276" w:lineRule="auto"/>
        <w:jc w:val="both"/>
        <w:rPr>
          <w:rFonts w:ascii="Arial" w:hAnsi="Arial" w:cs="Arial"/>
        </w:rPr>
      </w:pPr>
      <w:r w:rsidRPr="00B407AA">
        <w:rPr>
          <w:rFonts w:ascii="Arial" w:hAnsi="Arial" w:cs="Arial"/>
        </w:rPr>
        <w:t>2.- Así mismo, en virtud del artículo 3 del Decreto 128/2016, de 13 de septiembre, de</w:t>
      </w:r>
    </w:p>
    <w:p w:rsidR="00B407AA" w:rsidRPr="00B407AA" w:rsidRDefault="00B407AA" w:rsidP="00FB0FC5">
      <w:pPr>
        <w:spacing w:line="276" w:lineRule="auto"/>
        <w:jc w:val="both"/>
        <w:rPr>
          <w:rFonts w:ascii="Arial" w:hAnsi="Arial" w:cs="Arial"/>
        </w:rPr>
      </w:pPr>
      <w:r w:rsidRPr="00B407AA">
        <w:rPr>
          <w:rFonts w:ascii="Arial" w:hAnsi="Arial" w:cs="Arial"/>
        </w:rPr>
        <w:t xml:space="preserve">la Comisión Vasca de Acceso a la Información Pública, le corresponde a la Comisión </w:t>
      </w:r>
    </w:p>
    <w:p w:rsidR="00B407AA" w:rsidRDefault="00B407AA" w:rsidP="00FB0FC5">
      <w:pPr>
        <w:spacing w:line="276" w:lineRule="auto"/>
        <w:jc w:val="both"/>
        <w:rPr>
          <w:rFonts w:ascii="Arial" w:hAnsi="Arial" w:cs="Arial"/>
        </w:rPr>
      </w:pPr>
      <w:r w:rsidRPr="00B407AA">
        <w:rPr>
          <w:rFonts w:ascii="Arial" w:hAnsi="Arial" w:cs="Arial"/>
        </w:rPr>
        <w:t>resolver las reclamaciones que se presenten, en aplicación del régimen de</w:t>
      </w:r>
      <w:r w:rsidR="00F37272">
        <w:rPr>
          <w:rFonts w:ascii="Arial" w:hAnsi="Arial" w:cs="Arial"/>
        </w:rPr>
        <w:t xml:space="preserve"> </w:t>
      </w:r>
      <w:r w:rsidRPr="00B407AA">
        <w:rPr>
          <w:rFonts w:ascii="Arial" w:hAnsi="Arial" w:cs="Arial"/>
        </w:rPr>
        <w:t>impugnaciones previsto en materia de ejercicio del derecho de acceso a la información</w:t>
      </w:r>
      <w:r w:rsidR="00F37272">
        <w:rPr>
          <w:rFonts w:ascii="Arial" w:hAnsi="Arial" w:cs="Arial"/>
        </w:rPr>
        <w:t xml:space="preserve"> </w:t>
      </w:r>
      <w:r w:rsidRPr="00B407AA">
        <w:rPr>
          <w:rFonts w:ascii="Arial" w:hAnsi="Arial" w:cs="Arial"/>
        </w:rPr>
        <w:t xml:space="preserve">pública regulado en el artículo 24 de la </w:t>
      </w:r>
      <w:r w:rsidR="00F37272" w:rsidRPr="00F37272">
        <w:rPr>
          <w:rFonts w:ascii="Arial" w:hAnsi="Arial" w:cs="Arial"/>
        </w:rPr>
        <w:t>Ley 19/2013, de 9 de diciembre, de Transparencia, Acceso a la Información Pública y Buen Gobierno</w:t>
      </w:r>
      <w:r w:rsidRPr="00B407AA">
        <w:rPr>
          <w:rFonts w:ascii="Arial" w:hAnsi="Arial" w:cs="Arial"/>
        </w:rPr>
        <w:t>, en relación con las denegaciones</w:t>
      </w:r>
      <w:r w:rsidR="008D5C40">
        <w:rPr>
          <w:rFonts w:ascii="Arial" w:hAnsi="Arial" w:cs="Arial"/>
        </w:rPr>
        <w:t xml:space="preserve"> </w:t>
      </w:r>
      <w:r w:rsidRPr="00B407AA">
        <w:rPr>
          <w:rFonts w:ascii="Arial" w:hAnsi="Arial" w:cs="Arial"/>
        </w:rPr>
        <w:t>expresas o presuntas de las Administraciones públicas y demás entidades del sector</w:t>
      </w:r>
      <w:r w:rsidR="008D5C40">
        <w:rPr>
          <w:rFonts w:ascii="Arial" w:hAnsi="Arial" w:cs="Arial"/>
        </w:rPr>
        <w:t xml:space="preserve"> </w:t>
      </w:r>
      <w:r w:rsidRPr="00B407AA">
        <w:rPr>
          <w:rFonts w:ascii="Arial" w:hAnsi="Arial" w:cs="Arial"/>
        </w:rPr>
        <w:t>público vasco, que pertenezcan a las Instituciones comunes y locales de la</w:t>
      </w:r>
      <w:r w:rsidR="008D5C40">
        <w:rPr>
          <w:rFonts w:ascii="Arial" w:hAnsi="Arial" w:cs="Arial"/>
        </w:rPr>
        <w:t xml:space="preserve"> </w:t>
      </w:r>
      <w:r w:rsidRPr="00B407AA">
        <w:rPr>
          <w:rFonts w:ascii="Arial" w:hAnsi="Arial" w:cs="Arial"/>
        </w:rPr>
        <w:t>Comunidad Autónoma de Euskadi.</w:t>
      </w:r>
    </w:p>
    <w:p w:rsidR="008D26C2" w:rsidRDefault="008D26C2" w:rsidP="00FB0FC5">
      <w:pPr>
        <w:spacing w:line="276" w:lineRule="auto"/>
        <w:jc w:val="both"/>
        <w:rPr>
          <w:rFonts w:ascii="Arial" w:hAnsi="Arial" w:cs="Arial"/>
        </w:rPr>
      </w:pPr>
    </w:p>
    <w:p w:rsidR="008D26C2" w:rsidRPr="008D26C2" w:rsidRDefault="008D26C2" w:rsidP="008D26C2">
      <w:pPr>
        <w:spacing w:line="276" w:lineRule="auto"/>
        <w:jc w:val="both"/>
        <w:rPr>
          <w:rFonts w:ascii="Arial" w:hAnsi="Arial" w:cs="Arial"/>
        </w:rPr>
      </w:pPr>
      <w:r>
        <w:rPr>
          <w:rFonts w:ascii="Arial" w:hAnsi="Arial" w:cs="Arial"/>
        </w:rPr>
        <w:lastRenderedPageBreak/>
        <w:t>3.-</w:t>
      </w:r>
      <w:r w:rsidRPr="008D26C2">
        <w:t xml:space="preserve"> </w:t>
      </w:r>
      <w:r w:rsidRPr="008D26C2">
        <w:rPr>
          <w:rFonts w:ascii="Arial" w:hAnsi="Arial" w:cs="Arial"/>
        </w:rPr>
        <w:t>El</w:t>
      </w:r>
      <w:r>
        <w:rPr>
          <w:rFonts w:ascii="Arial" w:hAnsi="Arial" w:cs="Arial"/>
        </w:rPr>
        <w:t xml:space="preserve"> citado artículo 24 </w:t>
      </w:r>
      <w:r w:rsidRPr="008D26C2">
        <w:rPr>
          <w:rFonts w:ascii="Arial" w:hAnsi="Arial" w:cs="Arial"/>
        </w:rPr>
        <w:t>de la Ley 19/2013, de 9 de diciembre</w:t>
      </w:r>
      <w:r>
        <w:rPr>
          <w:rFonts w:ascii="Arial" w:hAnsi="Arial" w:cs="Arial"/>
        </w:rPr>
        <w:t>, establece en su apartado 4 que e</w:t>
      </w:r>
      <w:r w:rsidRPr="008D26C2">
        <w:rPr>
          <w:rFonts w:ascii="Arial" w:hAnsi="Arial" w:cs="Arial"/>
        </w:rPr>
        <w:t>l plazo máximo para resolver y notificar la resolución será de tres meses, transcurrido el cual, la reclamación se entenderá desestimada.</w:t>
      </w:r>
    </w:p>
    <w:p w:rsidR="004F6E8B" w:rsidRDefault="004F6E8B" w:rsidP="008D26C2">
      <w:pPr>
        <w:spacing w:line="276" w:lineRule="auto"/>
        <w:jc w:val="both"/>
        <w:rPr>
          <w:rFonts w:ascii="Arial" w:hAnsi="Arial" w:cs="Arial"/>
        </w:rPr>
      </w:pPr>
    </w:p>
    <w:p w:rsidR="008D5C40" w:rsidRDefault="004F6E8B" w:rsidP="004F6E8B">
      <w:pPr>
        <w:spacing w:line="276" w:lineRule="auto"/>
        <w:jc w:val="both"/>
        <w:rPr>
          <w:rFonts w:ascii="Arial" w:hAnsi="Arial" w:cs="Arial"/>
        </w:rPr>
      </w:pPr>
      <w:r>
        <w:rPr>
          <w:rFonts w:ascii="Arial" w:hAnsi="Arial" w:cs="Arial"/>
        </w:rPr>
        <w:t xml:space="preserve">4.- </w:t>
      </w:r>
      <w:r w:rsidR="008D26C2">
        <w:rPr>
          <w:rFonts w:ascii="Arial" w:hAnsi="Arial" w:cs="Arial"/>
        </w:rPr>
        <w:t>Igualmente el apartado 3 del antedicho artículo 24 dispone que l</w:t>
      </w:r>
      <w:r w:rsidR="008D26C2" w:rsidRPr="008D26C2">
        <w:rPr>
          <w:rFonts w:ascii="Arial" w:hAnsi="Arial" w:cs="Arial"/>
        </w:rPr>
        <w:t>a tramitación de la reclamación se ajustará a lo dispuesto en materia de recursos en la Ley 30/1992, de 26 de noviembre, de Régimen Jurídico de las Administraciones Públicas y del Pro</w:t>
      </w:r>
      <w:r>
        <w:rPr>
          <w:rFonts w:ascii="Arial" w:hAnsi="Arial" w:cs="Arial"/>
        </w:rPr>
        <w:t xml:space="preserve">cedimiento Administrativo Común, hoy sustituida por la </w:t>
      </w:r>
      <w:r w:rsidRPr="004F6E8B">
        <w:rPr>
          <w:rFonts w:ascii="Arial" w:hAnsi="Arial" w:cs="Arial"/>
        </w:rPr>
        <w:t>Ley 39/2015, de 1 de octubre, del Procedimiento Administrativo Común de las Administraciones Públicas</w:t>
      </w:r>
      <w:r>
        <w:rPr>
          <w:rFonts w:ascii="Arial" w:hAnsi="Arial" w:cs="Arial"/>
        </w:rPr>
        <w:t xml:space="preserve">. A estos efectos, el artículo 21.1 de la citada ley procedimental dispone que la </w:t>
      </w:r>
      <w:r w:rsidRPr="004F6E8B">
        <w:rPr>
          <w:rFonts w:ascii="Arial" w:hAnsi="Arial" w:cs="Arial"/>
        </w:rPr>
        <w:t>Administración está obligada a dictar resolución expresa y a notificarla en todos los procedimientos cualquiera que sea su f</w:t>
      </w:r>
      <w:r>
        <w:rPr>
          <w:rFonts w:ascii="Arial" w:hAnsi="Arial" w:cs="Arial"/>
        </w:rPr>
        <w:t>orma de iniciación por lo que, independientemente de que se prevea de forma legal que el silencio recaído sobre la reclamación presentada el d</w:t>
      </w:r>
      <w:r w:rsidR="002E7914">
        <w:rPr>
          <w:rFonts w:ascii="Arial" w:hAnsi="Arial" w:cs="Arial"/>
        </w:rPr>
        <w:t>ía 16 de diciembre tiene sentido desestimatorio</w:t>
      </w:r>
      <w:r w:rsidR="00F33B81">
        <w:rPr>
          <w:rFonts w:ascii="Arial" w:hAnsi="Arial" w:cs="Arial"/>
        </w:rPr>
        <w:t>,</w:t>
      </w:r>
      <w:r>
        <w:rPr>
          <w:rFonts w:ascii="Arial" w:hAnsi="Arial" w:cs="Arial"/>
        </w:rPr>
        <w:t xml:space="preserve"> esta Comisión, instada </w:t>
      </w:r>
      <w:r w:rsidR="002E7914">
        <w:rPr>
          <w:rFonts w:ascii="Arial" w:hAnsi="Arial" w:cs="Arial"/>
        </w:rPr>
        <w:t xml:space="preserve">asimismo </w:t>
      </w:r>
      <w:r>
        <w:rPr>
          <w:rFonts w:ascii="Arial" w:hAnsi="Arial" w:cs="Arial"/>
        </w:rPr>
        <w:t xml:space="preserve">por el propio Sr. </w:t>
      </w:r>
      <w:r w:rsidR="00607429">
        <w:rPr>
          <w:rFonts w:ascii="Arial" w:hAnsi="Arial" w:cs="Arial"/>
        </w:rPr>
        <w:t>……</w:t>
      </w:r>
      <w:r w:rsidR="00F33B81">
        <w:rPr>
          <w:rFonts w:ascii="Arial" w:hAnsi="Arial" w:cs="Arial"/>
        </w:rPr>
        <w:t>,</w:t>
      </w:r>
      <w:r w:rsidR="002E7914">
        <w:rPr>
          <w:rFonts w:ascii="Arial" w:hAnsi="Arial" w:cs="Arial"/>
        </w:rPr>
        <w:t xml:space="preserve"> </w:t>
      </w:r>
      <w:r>
        <w:rPr>
          <w:rFonts w:ascii="Arial" w:hAnsi="Arial" w:cs="Arial"/>
        </w:rPr>
        <w:t>procede a resolver expresamente</w:t>
      </w:r>
      <w:r w:rsidR="002E7914">
        <w:rPr>
          <w:rFonts w:ascii="Arial" w:hAnsi="Arial" w:cs="Arial"/>
        </w:rPr>
        <w:t xml:space="preserve"> su reclamación</w:t>
      </w:r>
      <w:r w:rsidR="00F33B81">
        <w:rPr>
          <w:rFonts w:ascii="Arial" w:hAnsi="Arial" w:cs="Arial"/>
        </w:rPr>
        <w:t xml:space="preserve"> sin</w:t>
      </w:r>
      <w:r w:rsidR="00F33B81" w:rsidRPr="004F6E8B">
        <w:rPr>
          <w:rFonts w:ascii="Arial" w:hAnsi="Arial" w:cs="Arial"/>
        </w:rPr>
        <w:t xml:space="preserve"> vinculación alguna al sentido </w:t>
      </w:r>
      <w:r w:rsidR="00F33B81">
        <w:rPr>
          <w:rFonts w:ascii="Arial" w:hAnsi="Arial" w:cs="Arial"/>
        </w:rPr>
        <w:t xml:space="preserve">desestimatorio </w:t>
      </w:r>
      <w:r w:rsidR="00F33B81" w:rsidRPr="004F6E8B">
        <w:rPr>
          <w:rFonts w:ascii="Arial" w:hAnsi="Arial" w:cs="Arial"/>
        </w:rPr>
        <w:t>del silencio</w:t>
      </w:r>
      <w:r w:rsidR="00F33B81">
        <w:rPr>
          <w:rFonts w:ascii="Arial" w:hAnsi="Arial" w:cs="Arial"/>
        </w:rPr>
        <w:t xml:space="preserve"> t</w:t>
      </w:r>
      <w:r>
        <w:rPr>
          <w:rFonts w:ascii="Arial" w:hAnsi="Arial" w:cs="Arial"/>
        </w:rPr>
        <w:t>al y como señala el artículo 21.1.b)</w:t>
      </w:r>
      <w:r w:rsidR="00F33B81">
        <w:rPr>
          <w:rFonts w:ascii="Arial" w:hAnsi="Arial" w:cs="Arial"/>
        </w:rPr>
        <w:t xml:space="preserve"> de la Ley 39/2015, de 1 de octubre.</w:t>
      </w:r>
    </w:p>
    <w:p w:rsidR="004F6E8B" w:rsidRDefault="004F6E8B" w:rsidP="00FB0FC5">
      <w:pPr>
        <w:spacing w:line="276" w:lineRule="auto"/>
        <w:jc w:val="both"/>
        <w:rPr>
          <w:rFonts w:ascii="Arial" w:hAnsi="Arial" w:cs="Arial"/>
        </w:rPr>
      </w:pPr>
    </w:p>
    <w:p w:rsidR="001D375E" w:rsidRDefault="00F33B81" w:rsidP="00C23D2A">
      <w:pPr>
        <w:spacing w:line="276" w:lineRule="auto"/>
        <w:jc w:val="both"/>
        <w:rPr>
          <w:rFonts w:ascii="Arial" w:hAnsi="Arial" w:cs="Arial"/>
        </w:rPr>
      </w:pPr>
      <w:r>
        <w:rPr>
          <w:rFonts w:ascii="Arial" w:hAnsi="Arial" w:cs="Arial"/>
        </w:rPr>
        <w:t>5</w:t>
      </w:r>
      <w:r w:rsidR="0070222B">
        <w:rPr>
          <w:rFonts w:ascii="Arial" w:hAnsi="Arial" w:cs="Arial"/>
        </w:rPr>
        <w:t>.-</w:t>
      </w:r>
      <w:r w:rsidR="0070222B" w:rsidRPr="0070222B">
        <w:rPr>
          <w:rFonts w:ascii="Arial" w:hAnsi="Arial" w:cs="Arial"/>
        </w:rPr>
        <w:t xml:space="preserve"> </w:t>
      </w:r>
      <w:r w:rsidR="008D26C2">
        <w:rPr>
          <w:rFonts w:ascii="Arial" w:hAnsi="Arial" w:cs="Arial"/>
        </w:rPr>
        <w:t>Por su parte, el</w:t>
      </w:r>
      <w:r w:rsidR="0070222B" w:rsidRPr="0070222B">
        <w:rPr>
          <w:rFonts w:ascii="Arial" w:hAnsi="Arial" w:cs="Arial"/>
        </w:rPr>
        <w:t xml:space="preserve"> artículo 13 de la Ley 19/2013, de 9 de diciembre, de transparencia, acceso a la información pública y buen gobierno recoge el concepto de información pública a los efectos de la Ley, entendiéndose por tal los contenidos o documentos, cualquiera que sea su formato o soporte, que obren en poder de alguno de los sujetos incluidos en su ámbito de aplicación y que hayan sido elaborados o adquiridos en el ejercicio de sus funciones.</w:t>
      </w:r>
      <w:r w:rsidR="0081483E">
        <w:rPr>
          <w:rFonts w:ascii="Arial" w:hAnsi="Arial" w:cs="Arial"/>
        </w:rPr>
        <w:t xml:space="preserve"> </w:t>
      </w:r>
      <w:r w:rsidR="007F157C">
        <w:rPr>
          <w:rFonts w:ascii="Arial" w:hAnsi="Arial" w:cs="Arial"/>
        </w:rPr>
        <w:t>En este sentido, en el presente expediente, ha de destacarse cuál es el objeto último de la solicitud planteada ante el Departamento de Economía y Hacienda, esto es, tal y como consta en el portal de transparencia, la emisión de “</w:t>
      </w:r>
      <w:r w:rsidR="007F157C" w:rsidRPr="007F157C">
        <w:rPr>
          <w:rFonts w:ascii="Arial" w:hAnsi="Arial" w:cs="Arial"/>
          <w:i/>
        </w:rPr>
        <w:t xml:space="preserve">un certificado en el que de forma clara y expresa se diga </w:t>
      </w:r>
      <w:r w:rsidR="004D2323" w:rsidRPr="007F157C">
        <w:rPr>
          <w:rFonts w:ascii="Arial" w:hAnsi="Arial" w:cs="Arial"/>
          <w:i/>
        </w:rPr>
        <w:t>cuál</w:t>
      </w:r>
      <w:r w:rsidR="007F157C" w:rsidRPr="007F157C">
        <w:rPr>
          <w:rFonts w:ascii="Arial" w:hAnsi="Arial" w:cs="Arial"/>
          <w:i/>
        </w:rPr>
        <w:t xml:space="preserve"> de las dos Administraciones, Comunidad Autónoma Vasca o Diputación Foral de </w:t>
      </w:r>
      <w:r w:rsidR="004D2323" w:rsidRPr="007F157C">
        <w:rPr>
          <w:rFonts w:ascii="Arial" w:hAnsi="Arial" w:cs="Arial"/>
          <w:i/>
        </w:rPr>
        <w:t>Álava</w:t>
      </w:r>
      <w:r w:rsidR="007F157C" w:rsidRPr="007F157C">
        <w:rPr>
          <w:rFonts w:ascii="Arial" w:hAnsi="Arial" w:cs="Arial"/>
          <w:i/>
        </w:rPr>
        <w:t>, tenía competencia para declarar la paralización de un expediente de apremio, y en base a que artículo o artículos del citado Convenio de 15/07/1998</w:t>
      </w:r>
      <w:r w:rsidR="007F157C" w:rsidRPr="007F157C">
        <w:rPr>
          <w:rFonts w:ascii="Arial" w:hAnsi="Arial" w:cs="Arial"/>
        </w:rPr>
        <w:t>.</w:t>
      </w:r>
      <w:r w:rsidR="007F157C">
        <w:rPr>
          <w:rFonts w:ascii="Arial" w:hAnsi="Arial" w:cs="Arial"/>
        </w:rPr>
        <w:t>” Dejando al margen el hecho de que el citado portal hace constar que la resolución recaída era estimatoria, motivo por el que el ahora reclamante, habrá obtenido dicho certificado</w:t>
      </w:r>
      <w:r w:rsidR="00B30064">
        <w:rPr>
          <w:rFonts w:ascii="Arial" w:hAnsi="Arial" w:cs="Arial"/>
        </w:rPr>
        <w:t>,</w:t>
      </w:r>
      <w:r w:rsidR="007F157C">
        <w:rPr>
          <w:rFonts w:ascii="Arial" w:hAnsi="Arial" w:cs="Arial"/>
        </w:rPr>
        <w:t xml:space="preserve"> ha de examinarse, como se ha dicho, si la solicitud de certificados encaja en el concepto de información pública a que se refiere la Ley 19/2013, de 9 de diciembre. A estos efectos, la Ley hace referencia a </w:t>
      </w:r>
      <w:r w:rsidR="006D1C00" w:rsidRPr="006D1C00">
        <w:rPr>
          <w:rFonts w:ascii="Arial" w:hAnsi="Arial" w:cs="Arial"/>
        </w:rPr>
        <w:t>in</w:t>
      </w:r>
      <w:r w:rsidR="007F157C">
        <w:rPr>
          <w:rFonts w:ascii="Arial" w:hAnsi="Arial" w:cs="Arial"/>
        </w:rPr>
        <w:t xml:space="preserve">formación de la que disponga un </w:t>
      </w:r>
      <w:r w:rsidR="006D1C00" w:rsidRPr="006D1C00">
        <w:rPr>
          <w:rFonts w:ascii="Arial" w:hAnsi="Arial" w:cs="Arial"/>
        </w:rPr>
        <w:t>organismo o entidad de los sujetos a la Ley en el momento en que se produce la soli</w:t>
      </w:r>
      <w:r w:rsidR="007F157C">
        <w:rPr>
          <w:rFonts w:ascii="Arial" w:hAnsi="Arial" w:cs="Arial"/>
        </w:rPr>
        <w:t xml:space="preserve">citud. </w:t>
      </w:r>
      <w:r w:rsidR="00E9063D">
        <w:rPr>
          <w:rFonts w:ascii="Arial" w:hAnsi="Arial" w:cs="Arial"/>
        </w:rPr>
        <w:t>Así, el</w:t>
      </w:r>
      <w:r w:rsidR="00E9063D" w:rsidRPr="00E9063D">
        <w:rPr>
          <w:rFonts w:ascii="Arial" w:hAnsi="Arial" w:cs="Arial"/>
        </w:rPr>
        <w:t xml:space="preserve"> dere</w:t>
      </w:r>
      <w:r w:rsidR="00E9063D">
        <w:rPr>
          <w:rFonts w:ascii="Arial" w:hAnsi="Arial" w:cs="Arial"/>
        </w:rPr>
        <w:t>cho debe recaer, obviamente,</w:t>
      </w:r>
      <w:r w:rsidR="00E9063D" w:rsidRPr="00E9063D">
        <w:rPr>
          <w:rFonts w:ascii="Arial" w:hAnsi="Arial" w:cs="Arial"/>
        </w:rPr>
        <w:t xml:space="preserve"> </w:t>
      </w:r>
      <w:r w:rsidR="00E9063D">
        <w:rPr>
          <w:rFonts w:ascii="Arial" w:hAnsi="Arial" w:cs="Arial"/>
        </w:rPr>
        <w:t xml:space="preserve">sobre información existente en el </w:t>
      </w:r>
      <w:r w:rsidR="00E9063D" w:rsidRPr="00E9063D">
        <w:rPr>
          <w:rFonts w:ascii="Arial" w:hAnsi="Arial" w:cs="Arial"/>
        </w:rPr>
        <w:t>momento en que se ejercita y, por tanto, no pu</w:t>
      </w:r>
      <w:r w:rsidR="00E9063D">
        <w:rPr>
          <w:rFonts w:ascii="Arial" w:hAnsi="Arial" w:cs="Arial"/>
        </w:rPr>
        <w:t xml:space="preserve">ede solicitarse información que </w:t>
      </w:r>
      <w:r w:rsidR="00E9063D" w:rsidRPr="00E9063D">
        <w:rPr>
          <w:rFonts w:ascii="Arial" w:hAnsi="Arial" w:cs="Arial"/>
        </w:rPr>
        <w:t>pueda generarse en el futuro, o que esté en proceso de elaboración</w:t>
      </w:r>
      <w:r w:rsidR="00E9063D">
        <w:rPr>
          <w:rFonts w:ascii="Arial" w:hAnsi="Arial" w:cs="Arial"/>
        </w:rPr>
        <w:t>.</w:t>
      </w:r>
      <w:r w:rsidR="00932FD2">
        <w:rPr>
          <w:rFonts w:ascii="Arial" w:hAnsi="Arial" w:cs="Arial"/>
        </w:rPr>
        <w:t xml:space="preserve"> </w:t>
      </w:r>
      <w:r w:rsidR="00932FD2" w:rsidRPr="00932FD2">
        <w:rPr>
          <w:rFonts w:ascii="Arial" w:hAnsi="Arial" w:cs="Arial"/>
        </w:rPr>
        <w:t xml:space="preserve">Por lo tanto, la Ley no ampara solicitudes dirigidas a obtener la emisión de un certificado ya que estos tienen consideración de actos futuros por cuanto que </w:t>
      </w:r>
      <w:r w:rsidR="00932FD2" w:rsidRPr="00932FD2">
        <w:rPr>
          <w:rFonts w:ascii="Arial" w:hAnsi="Arial" w:cs="Arial"/>
        </w:rPr>
        <w:lastRenderedPageBreak/>
        <w:t>los mismos no obran en poder de administración</w:t>
      </w:r>
      <w:r w:rsidR="00932FD2">
        <w:rPr>
          <w:rFonts w:ascii="Arial" w:hAnsi="Arial" w:cs="Arial"/>
        </w:rPr>
        <w:t>,</w:t>
      </w:r>
      <w:r w:rsidR="00932FD2" w:rsidRPr="00932FD2">
        <w:rPr>
          <w:rFonts w:ascii="Arial" w:hAnsi="Arial" w:cs="Arial"/>
        </w:rPr>
        <w:t xml:space="preserve"> sino que se producen como consecuencia, precisamente, de su solicitud</w:t>
      </w:r>
      <w:r w:rsidR="00932FD2">
        <w:rPr>
          <w:rFonts w:ascii="Arial" w:hAnsi="Arial" w:cs="Arial"/>
        </w:rPr>
        <w:t>.</w:t>
      </w:r>
      <w:r w:rsidR="001D375E">
        <w:rPr>
          <w:rFonts w:ascii="Arial" w:hAnsi="Arial" w:cs="Arial"/>
        </w:rPr>
        <w:t xml:space="preserve"> </w:t>
      </w:r>
    </w:p>
    <w:p w:rsidR="00966E1E" w:rsidRDefault="00966E1E" w:rsidP="00966E1E">
      <w:pPr>
        <w:spacing w:line="276" w:lineRule="auto"/>
        <w:jc w:val="both"/>
        <w:rPr>
          <w:rFonts w:ascii="Arial" w:hAnsi="Arial" w:cs="Arial"/>
        </w:rPr>
      </w:pPr>
    </w:p>
    <w:p w:rsidR="00966E1E" w:rsidRDefault="00966E1E" w:rsidP="00966E1E">
      <w:pPr>
        <w:spacing w:line="276" w:lineRule="auto"/>
        <w:jc w:val="both"/>
        <w:rPr>
          <w:rFonts w:ascii="Arial" w:hAnsi="Arial" w:cs="Arial"/>
        </w:rPr>
      </w:pPr>
      <w:r>
        <w:rPr>
          <w:rFonts w:ascii="Arial" w:hAnsi="Arial" w:cs="Arial"/>
        </w:rPr>
        <w:t>Igualmente, a título ilustrativo, no encajan en el concepto de información pública la expedición de compulsas o copias autenticadas, las preguntas relativas a valoraciones o pronunciamientos institucionales, las consultas o aclaraciones sobre normativa aplicable (quizá más encajable en el presente supuesto, que si bien denomina certificación pide aclaración normativa), la información puramente administrativa sobre realización de trámites, quejas, sugerencias, las solicitudes de actuaciones materiales sobre ejercicio de competencias, etc.</w:t>
      </w:r>
    </w:p>
    <w:p w:rsidR="00966E1E" w:rsidRDefault="00966E1E" w:rsidP="00C23D2A">
      <w:pPr>
        <w:spacing w:line="276" w:lineRule="auto"/>
        <w:jc w:val="both"/>
        <w:rPr>
          <w:rFonts w:ascii="Arial" w:hAnsi="Arial" w:cs="Arial"/>
        </w:rPr>
      </w:pPr>
    </w:p>
    <w:p w:rsidR="00C54D92" w:rsidRDefault="001D375E" w:rsidP="0070222B">
      <w:pPr>
        <w:spacing w:line="276" w:lineRule="auto"/>
        <w:jc w:val="both"/>
        <w:rPr>
          <w:rFonts w:ascii="Arial" w:hAnsi="Arial" w:cs="Arial"/>
        </w:rPr>
      </w:pPr>
      <w:r w:rsidRPr="001D375E">
        <w:rPr>
          <w:rFonts w:ascii="Arial" w:hAnsi="Arial" w:cs="Arial"/>
        </w:rPr>
        <w:t xml:space="preserve">6.- </w:t>
      </w:r>
      <w:r w:rsidR="00B30064">
        <w:rPr>
          <w:rFonts w:ascii="Arial" w:hAnsi="Arial" w:cs="Arial"/>
        </w:rPr>
        <w:t>A mayor abundamiento</w:t>
      </w:r>
      <w:r w:rsidRPr="001D375E">
        <w:rPr>
          <w:rFonts w:ascii="Arial" w:hAnsi="Arial" w:cs="Arial"/>
        </w:rPr>
        <w:t>, el objetivo de la Ley es, tal y como señala su artículo 1 “</w:t>
      </w:r>
      <w:r w:rsidRPr="00B30064">
        <w:rPr>
          <w:rFonts w:ascii="Arial" w:hAnsi="Arial" w:cs="Arial"/>
          <w:i/>
        </w:rPr>
        <w:t>ampliar y reforzar la transparencia de la actividad pública, regular y garantizar el derecho de acceso a la información relativa a aquella actividad y establecer las obligaciones de buen gobierno que deben cumplir los responsables públicos, así como las consecuencias derivadas de su incumplimiento</w:t>
      </w:r>
      <w:r w:rsidR="00B30064">
        <w:rPr>
          <w:rFonts w:ascii="Arial" w:hAnsi="Arial" w:cs="Arial"/>
        </w:rPr>
        <w:t>”</w:t>
      </w:r>
      <w:r w:rsidRPr="001D375E">
        <w:rPr>
          <w:rFonts w:ascii="Arial" w:hAnsi="Arial" w:cs="Arial"/>
        </w:rPr>
        <w:t>. El objeto último de la solicitud, además, no guarda relación con el control de la actuación pública y la rendición de cuentas en la que se basa la Ley 19/2013, de 9 de diciembre, de transparencia, acceso a la información pública y buen gobierno, sino que se trata de una cuestión meramente privada en la que, el reclamante tendría la condición de interesado por lo que dispone de otras vías para acceder a la información del expediente</w:t>
      </w:r>
      <w:r w:rsidR="00B30064">
        <w:rPr>
          <w:rFonts w:ascii="Arial" w:hAnsi="Arial" w:cs="Arial"/>
        </w:rPr>
        <w:t xml:space="preserve">, previstas en su propio procedimiento. </w:t>
      </w:r>
      <w:r w:rsidRPr="001D375E">
        <w:rPr>
          <w:rFonts w:ascii="Arial" w:hAnsi="Arial" w:cs="Arial"/>
        </w:rPr>
        <w:t>El propio Preámbulo de la Ley 19/2013, de 9 de diciembre, señala que “</w:t>
      </w:r>
      <w:r w:rsidRPr="00B30064">
        <w:rPr>
          <w:rFonts w:ascii="Arial" w:hAnsi="Arial" w:cs="Arial"/>
          <w:i/>
        </w:rPr>
        <w:t>la transparencia, el acceso a la información pública y las normas de buen gobierno deben ser los ejes fundamentales de toda acción política. Sólo cuando la acción de los responsables públicos se somete a escrutinio, cuando los ciudadanos pueden conocer cómo se toman las decisiones que les afectan, cómo se manejan los fondos públicos o bajo qué criterios actúan nuestras instituciones podremos hablar del inicio de un proceso en el que los poderes públicos comienzan a responder a una sociedad que es crítica, exigente y que demanda participación de los poderes públicos.</w:t>
      </w:r>
      <w:r w:rsidRPr="001D375E">
        <w:rPr>
          <w:rFonts w:ascii="Arial" w:hAnsi="Arial" w:cs="Arial"/>
        </w:rPr>
        <w:t>”</w:t>
      </w:r>
      <w:r w:rsidR="00B30064">
        <w:rPr>
          <w:rFonts w:ascii="Arial" w:hAnsi="Arial" w:cs="Arial"/>
        </w:rPr>
        <w:t xml:space="preserve"> Queda patente que la solicitud que formula el Sr. </w:t>
      </w:r>
      <w:r w:rsidR="00607429">
        <w:rPr>
          <w:rFonts w:ascii="Arial" w:hAnsi="Arial" w:cs="Arial"/>
        </w:rPr>
        <w:t>……</w:t>
      </w:r>
      <w:r w:rsidR="00B30064">
        <w:rPr>
          <w:rFonts w:ascii="Arial" w:hAnsi="Arial" w:cs="Arial"/>
        </w:rPr>
        <w:t xml:space="preserve"> no está alineada con el objeto de la Ley. </w:t>
      </w:r>
      <w:r w:rsidR="00C23D2A">
        <w:rPr>
          <w:rFonts w:ascii="Arial" w:hAnsi="Arial" w:cs="Arial"/>
        </w:rPr>
        <w:t xml:space="preserve">En el mismo sentido ha resuelto el Consejo de Transparencia y Buen Gobierno en distintas ocasiones, por traer algunas a la presente Resolución cabe citar la </w:t>
      </w:r>
      <w:r w:rsidR="00C23D2A" w:rsidRPr="00C23D2A">
        <w:rPr>
          <w:rFonts w:ascii="Arial" w:hAnsi="Arial" w:cs="Arial"/>
        </w:rPr>
        <w:t>R/0059/2019</w:t>
      </w:r>
      <w:r w:rsidR="00C23D2A">
        <w:rPr>
          <w:rFonts w:ascii="Arial" w:hAnsi="Arial" w:cs="Arial"/>
        </w:rPr>
        <w:t xml:space="preserve">, </w:t>
      </w:r>
      <w:r w:rsidR="00C23D2A" w:rsidRPr="00C23D2A">
        <w:rPr>
          <w:rFonts w:ascii="Arial" w:hAnsi="Arial" w:cs="Arial"/>
        </w:rPr>
        <w:t>R/0118/2016 y R/0274/2016</w:t>
      </w:r>
      <w:r>
        <w:rPr>
          <w:rFonts w:ascii="Arial" w:hAnsi="Arial" w:cs="Arial"/>
        </w:rPr>
        <w:t>,</w:t>
      </w:r>
      <w:r w:rsidR="00C23D2A">
        <w:rPr>
          <w:rFonts w:ascii="Arial" w:hAnsi="Arial" w:cs="Arial"/>
        </w:rPr>
        <w:t xml:space="preserve"> así como la Sentencia </w:t>
      </w:r>
      <w:r w:rsidR="00C23D2A" w:rsidRPr="00C23D2A">
        <w:rPr>
          <w:rFonts w:ascii="Arial" w:hAnsi="Arial" w:cs="Arial"/>
        </w:rPr>
        <w:t>del Juzgado Central de l</w:t>
      </w:r>
      <w:r w:rsidR="00C23D2A">
        <w:rPr>
          <w:rFonts w:ascii="Arial" w:hAnsi="Arial" w:cs="Arial"/>
        </w:rPr>
        <w:t xml:space="preserve">o Contencioso-Administrativo nº </w:t>
      </w:r>
      <w:r w:rsidR="00C23D2A" w:rsidRPr="00C23D2A">
        <w:rPr>
          <w:rFonts w:ascii="Arial" w:hAnsi="Arial" w:cs="Arial"/>
        </w:rPr>
        <w:t>2, de</w:t>
      </w:r>
      <w:r w:rsidR="00B30064">
        <w:rPr>
          <w:rFonts w:ascii="Arial" w:hAnsi="Arial" w:cs="Arial"/>
        </w:rPr>
        <w:t xml:space="preserve"> Madrid, de 6 de marzo de 2018.</w:t>
      </w:r>
    </w:p>
    <w:p w:rsidR="008D5C40" w:rsidRDefault="008D5C40" w:rsidP="00FB0FC5">
      <w:pPr>
        <w:spacing w:line="276" w:lineRule="auto"/>
        <w:jc w:val="both"/>
        <w:rPr>
          <w:rFonts w:ascii="Arial" w:hAnsi="Arial" w:cs="Arial"/>
        </w:rPr>
      </w:pPr>
    </w:p>
    <w:p w:rsidR="00B407AA" w:rsidRPr="00B407AA" w:rsidRDefault="00B407AA" w:rsidP="00B30064">
      <w:pPr>
        <w:spacing w:line="276" w:lineRule="auto"/>
        <w:rPr>
          <w:rFonts w:ascii="Arial" w:hAnsi="Arial" w:cs="Arial"/>
        </w:rPr>
      </w:pPr>
      <w:r w:rsidRPr="00B407AA">
        <w:rPr>
          <w:rFonts w:ascii="Arial" w:hAnsi="Arial" w:cs="Arial"/>
        </w:rPr>
        <w:t>A la vista de cuanto antecede, la Comisión Vasca de Acceso a la Información, por</w:t>
      </w:r>
    </w:p>
    <w:p w:rsidR="008D5C40" w:rsidRDefault="00B30064" w:rsidP="00B30064">
      <w:pPr>
        <w:spacing w:line="276" w:lineRule="auto"/>
        <w:rPr>
          <w:rFonts w:ascii="Arial" w:hAnsi="Arial" w:cs="Arial"/>
        </w:rPr>
      </w:pPr>
      <w:r>
        <w:rPr>
          <w:rFonts w:ascii="Arial" w:hAnsi="Arial" w:cs="Arial"/>
        </w:rPr>
        <w:t>u</w:t>
      </w:r>
      <w:r w:rsidR="00B407AA" w:rsidRPr="00B407AA">
        <w:rPr>
          <w:rFonts w:ascii="Arial" w:hAnsi="Arial" w:cs="Arial"/>
        </w:rPr>
        <w:t>nanimidad</w:t>
      </w:r>
    </w:p>
    <w:p w:rsidR="00B30064" w:rsidRDefault="00B30064" w:rsidP="00B30064">
      <w:pPr>
        <w:spacing w:line="276" w:lineRule="auto"/>
        <w:rPr>
          <w:rFonts w:ascii="Arial" w:hAnsi="Arial" w:cs="Arial"/>
        </w:rPr>
      </w:pPr>
    </w:p>
    <w:p w:rsidR="00B30064" w:rsidRDefault="00B30064" w:rsidP="00FB0FC5">
      <w:pPr>
        <w:spacing w:line="276" w:lineRule="auto"/>
        <w:jc w:val="both"/>
        <w:rPr>
          <w:rFonts w:ascii="Arial" w:hAnsi="Arial" w:cs="Arial"/>
        </w:rPr>
      </w:pPr>
    </w:p>
    <w:p w:rsidR="00B97450" w:rsidRDefault="00B97450" w:rsidP="00FB0FC5">
      <w:pPr>
        <w:spacing w:line="276" w:lineRule="auto"/>
        <w:jc w:val="both"/>
        <w:rPr>
          <w:rFonts w:ascii="Arial" w:hAnsi="Arial" w:cs="Arial"/>
        </w:rPr>
      </w:pPr>
    </w:p>
    <w:p w:rsidR="00B97450" w:rsidRDefault="00B97450" w:rsidP="00FB0FC5">
      <w:pPr>
        <w:spacing w:line="276" w:lineRule="auto"/>
        <w:jc w:val="both"/>
        <w:rPr>
          <w:rFonts w:ascii="Arial" w:hAnsi="Arial" w:cs="Arial"/>
        </w:rPr>
      </w:pPr>
    </w:p>
    <w:p w:rsidR="00B407AA" w:rsidRDefault="00B407AA" w:rsidP="00E81FC1">
      <w:pPr>
        <w:spacing w:line="276" w:lineRule="auto"/>
        <w:jc w:val="center"/>
        <w:rPr>
          <w:rFonts w:ascii="Arial" w:hAnsi="Arial" w:cs="Arial"/>
          <w:b/>
        </w:rPr>
      </w:pPr>
      <w:r w:rsidRPr="00E81FC1">
        <w:rPr>
          <w:rFonts w:ascii="Arial" w:hAnsi="Arial" w:cs="Arial"/>
          <w:b/>
        </w:rPr>
        <w:lastRenderedPageBreak/>
        <w:t>RESUELVE</w:t>
      </w:r>
    </w:p>
    <w:p w:rsidR="00E81FC1" w:rsidRPr="00E81FC1" w:rsidRDefault="00E81FC1" w:rsidP="00E81FC1">
      <w:pPr>
        <w:spacing w:line="276" w:lineRule="auto"/>
        <w:jc w:val="center"/>
        <w:rPr>
          <w:rFonts w:ascii="Arial" w:hAnsi="Arial" w:cs="Arial"/>
          <w:b/>
        </w:rPr>
      </w:pPr>
    </w:p>
    <w:p w:rsidR="00E81FC1" w:rsidRDefault="00B407AA" w:rsidP="00FB0FC5">
      <w:pPr>
        <w:spacing w:line="276" w:lineRule="auto"/>
        <w:jc w:val="both"/>
        <w:rPr>
          <w:rFonts w:ascii="Arial" w:hAnsi="Arial" w:cs="Arial"/>
        </w:rPr>
      </w:pPr>
      <w:r w:rsidRPr="00E81FC1">
        <w:rPr>
          <w:rFonts w:ascii="Arial" w:hAnsi="Arial" w:cs="Arial"/>
          <w:b/>
        </w:rPr>
        <w:t>Primero</w:t>
      </w:r>
      <w:r w:rsidRPr="00B407AA">
        <w:rPr>
          <w:rFonts w:ascii="Arial" w:hAnsi="Arial" w:cs="Arial"/>
        </w:rPr>
        <w:t xml:space="preserve">. - Inadmitir </w:t>
      </w:r>
      <w:r w:rsidR="00E81FC1">
        <w:rPr>
          <w:rFonts w:ascii="Arial" w:hAnsi="Arial" w:cs="Arial"/>
        </w:rPr>
        <w:t xml:space="preserve">la reclamación presentada por </w:t>
      </w:r>
      <w:r w:rsidR="00B30064">
        <w:rPr>
          <w:rFonts w:ascii="Arial" w:hAnsi="Arial" w:cs="Arial"/>
        </w:rPr>
        <w:t xml:space="preserve">D. </w:t>
      </w:r>
      <w:r w:rsidR="00607429">
        <w:rPr>
          <w:rFonts w:ascii="Arial" w:hAnsi="Arial" w:cs="Arial"/>
          <w:color w:val="000000" w:themeColor="text1"/>
        </w:rPr>
        <w:t>……………………</w:t>
      </w:r>
      <w:r w:rsidR="00B30064" w:rsidRPr="00B30064">
        <w:rPr>
          <w:rFonts w:ascii="Arial" w:hAnsi="Arial" w:cs="Arial"/>
        </w:rPr>
        <w:t xml:space="preserve"> </w:t>
      </w:r>
      <w:r w:rsidR="00B30064">
        <w:rPr>
          <w:rFonts w:ascii="Arial" w:hAnsi="Arial" w:cs="Arial"/>
        </w:rPr>
        <w:t>contra la Resolución estimatoria del Departamento de Economía y Hacienda del expediente de acceso a información pública 2020/000241.</w:t>
      </w:r>
    </w:p>
    <w:p w:rsidR="00B30064" w:rsidRDefault="00B30064" w:rsidP="00FB0FC5">
      <w:pPr>
        <w:spacing w:line="276" w:lineRule="auto"/>
        <w:jc w:val="both"/>
        <w:rPr>
          <w:rFonts w:ascii="Arial" w:hAnsi="Arial" w:cs="Arial"/>
        </w:rPr>
      </w:pPr>
    </w:p>
    <w:p w:rsidR="00B407AA" w:rsidRDefault="00B407AA" w:rsidP="00E81FC1">
      <w:pPr>
        <w:spacing w:line="276" w:lineRule="auto"/>
        <w:jc w:val="both"/>
        <w:rPr>
          <w:rFonts w:ascii="Arial" w:hAnsi="Arial" w:cs="Arial"/>
        </w:rPr>
      </w:pPr>
      <w:r w:rsidRPr="00E81FC1">
        <w:rPr>
          <w:rFonts w:ascii="Arial" w:hAnsi="Arial" w:cs="Arial"/>
          <w:b/>
        </w:rPr>
        <w:t>Segundo</w:t>
      </w:r>
      <w:r w:rsidRPr="00B407AA">
        <w:rPr>
          <w:rFonts w:ascii="Arial" w:hAnsi="Arial" w:cs="Arial"/>
        </w:rPr>
        <w:t>.- Notificar la presen</w:t>
      </w:r>
      <w:r w:rsidR="00E81FC1">
        <w:rPr>
          <w:rFonts w:ascii="Arial" w:hAnsi="Arial" w:cs="Arial"/>
        </w:rPr>
        <w:t xml:space="preserve">te Resolución al reclamante </w:t>
      </w:r>
      <w:r w:rsidR="00B30064">
        <w:rPr>
          <w:rFonts w:ascii="Arial" w:hAnsi="Arial" w:cs="Arial"/>
        </w:rPr>
        <w:t>y al Departamento de Economía y Hacienda del Gobierno Vasco.</w:t>
      </w:r>
    </w:p>
    <w:p w:rsidR="00E81FC1" w:rsidRPr="00B407AA" w:rsidRDefault="00E81FC1" w:rsidP="00E81FC1">
      <w:pPr>
        <w:spacing w:line="276" w:lineRule="auto"/>
        <w:jc w:val="both"/>
        <w:rPr>
          <w:rFonts w:ascii="Arial" w:hAnsi="Arial" w:cs="Arial"/>
        </w:rPr>
      </w:pPr>
    </w:p>
    <w:p w:rsidR="00B407AA" w:rsidRPr="00B407AA" w:rsidRDefault="00B407AA" w:rsidP="00FB0FC5">
      <w:pPr>
        <w:spacing w:line="276" w:lineRule="auto"/>
        <w:jc w:val="both"/>
        <w:rPr>
          <w:rFonts w:ascii="Arial" w:hAnsi="Arial" w:cs="Arial"/>
        </w:rPr>
      </w:pPr>
      <w:r w:rsidRPr="00E81FC1">
        <w:rPr>
          <w:rFonts w:ascii="Arial" w:hAnsi="Arial" w:cs="Arial"/>
          <w:b/>
        </w:rPr>
        <w:t>Tercero</w:t>
      </w:r>
      <w:r w:rsidRPr="00B407AA">
        <w:rPr>
          <w:rFonts w:ascii="Arial" w:hAnsi="Arial" w:cs="Arial"/>
        </w:rPr>
        <w:t>.-. Publicar la Resolución en la página web de la Comisión Vasca de Acceso</w:t>
      </w:r>
    </w:p>
    <w:p w:rsidR="00B407AA" w:rsidRPr="00B407AA" w:rsidRDefault="00B407AA" w:rsidP="00FB0FC5">
      <w:pPr>
        <w:spacing w:line="276" w:lineRule="auto"/>
        <w:jc w:val="both"/>
        <w:rPr>
          <w:rFonts w:ascii="Arial" w:hAnsi="Arial" w:cs="Arial"/>
        </w:rPr>
      </w:pPr>
      <w:r w:rsidRPr="00B407AA">
        <w:rPr>
          <w:rFonts w:ascii="Arial" w:hAnsi="Arial" w:cs="Arial"/>
        </w:rPr>
        <w:t>a la Información Pública una vez efectuada la notificación al reclamante y reclamado</w:t>
      </w:r>
    </w:p>
    <w:p w:rsidR="00B407AA" w:rsidRPr="00B407AA" w:rsidRDefault="00B407AA" w:rsidP="00FB0FC5">
      <w:pPr>
        <w:spacing w:line="276" w:lineRule="auto"/>
        <w:jc w:val="both"/>
        <w:rPr>
          <w:rFonts w:ascii="Arial" w:hAnsi="Arial" w:cs="Arial"/>
        </w:rPr>
      </w:pPr>
      <w:r w:rsidRPr="00B407AA">
        <w:rPr>
          <w:rFonts w:ascii="Arial" w:hAnsi="Arial" w:cs="Arial"/>
        </w:rPr>
        <w:t>previa disociación de los datos de carácter personal.</w:t>
      </w:r>
    </w:p>
    <w:p w:rsidR="00E81FC1" w:rsidRDefault="00E81FC1" w:rsidP="00FB0FC5">
      <w:pPr>
        <w:spacing w:line="276" w:lineRule="auto"/>
        <w:jc w:val="both"/>
        <w:rPr>
          <w:rFonts w:ascii="Arial" w:hAnsi="Arial" w:cs="Arial"/>
        </w:rPr>
      </w:pPr>
    </w:p>
    <w:p w:rsidR="00B407AA" w:rsidRDefault="00B407AA" w:rsidP="00FB0FC5">
      <w:pPr>
        <w:spacing w:line="276" w:lineRule="auto"/>
        <w:jc w:val="both"/>
        <w:rPr>
          <w:rFonts w:ascii="Arial" w:hAnsi="Arial" w:cs="Arial"/>
        </w:rPr>
      </w:pPr>
      <w:r w:rsidRPr="00B407AA">
        <w:rPr>
          <w:rFonts w:ascii="Arial" w:hAnsi="Arial" w:cs="Arial"/>
        </w:rPr>
        <w:t>Esta Resolución pone fin a la vía administrativa y contra la misma solo cabe interponer</w:t>
      </w:r>
      <w:r w:rsidR="00E81FC1">
        <w:rPr>
          <w:rFonts w:ascii="Arial" w:hAnsi="Arial" w:cs="Arial"/>
        </w:rPr>
        <w:t xml:space="preserve"> </w:t>
      </w:r>
      <w:r w:rsidRPr="00B407AA">
        <w:rPr>
          <w:rFonts w:ascii="Arial" w:hAnsi="Arial" w:cs="Arial"/>
        </w:rPr>
        <w:t>recurso contencioso-administrativo, en el plazo de dos meses a contar desde el día</w:t>
      </w:r>
      <w:r w:rsidR="00E81FC1">
        <w:rPr>
          <w:rFonts w:ascii="Arial" w:hAnsi="Arial" w:cs="Arial"/>
        </w:rPr>
        <w:t xml:space="preserve"> </w:t>
      </w:r>
      <w:r w:rsidRPr="00B407AA">
        <w:rPr>
          <w:rFonts w:ascii="Arial" w:hAnsi="Arial" w:cs="Arial"/>
        </w:rPr>
        <w:t>siguiente a su notificación, ante la Sala de lo Contencioso-administrativo del Tribunal</w:t>
      </w:r>
      <w:r w:rsidR="00E81FC1">
        <w:rPr>
          <w:rFonts w:ascii="Arial" w:hAnsi="Arial" w:cs="Arial"/>
        </w:rPr>
        <w:t xml:space="preserve"> </w:t>
      </w:r>
      <w:r w:rsidRPr="00B407AA">
        <w:rPr>
          <w:rFonts w:ascii="Arial" w:hAnsi="Arial" w:cs="Arial"/>
        </w:rPr>
        <w:t>Superior de Justicia del País Vasco, de conformidad con lo previsto en el artículo 10.1.</w:t>
      </w:r>
      <w:r w:rsidR="00E81FC1">
        <w:rPr>
          <w:rFonts w:ascii="Arial" w:hAnsi="Arial" w:cs="Arial"/>
        </w:rPr>
        <w:t xml:space="preserve"> </w:t>
      </w:r>
      <w:r w:rsidRPr="00B407AA">
        <w:rPr>
          <w:rFonts w:ascii="Arial" w:hAnsi="Arial" w:cs="Arial"/>
        </w:rPr>
        <w:t>m) de la Ley 29/1998, de 13 de julio, reguladora de la Jurisdicción Contencioso</w:t>
      </w:r>
      <w:r w:rsidR="00E81FC1">
        <w:rPr>
          <w:rFonts w:ascii="Arial" w:hAnsi="Arial" w:cs="Arial"/>
        </w:rPr>
        <w:t xml:space="preserve"> </w:t>
      </w:r>
      <w:r w:rsidRPr="00B407AA">
        <w:rPr>
          <w:rFonts w:ascii="Arial" w:hAnsi="Arial" w:cs="Arial"/>
        </w:rPr>
        <w:t>Administrativa.</w:t>
      </w:r>
    </w:p>
    <w:p w:rsidR="00B30064" w:rsidRDefault="00B30064" w:rsidP="00FB0FC5">
      <w:pPr>
        <w:spacing w:line="276" w:lineRule="auto"/>
        <w:jc w:val="both"/>
        <w:rPr>
          <w:rFonts w:ascii="Arial" w:hAnsi="Arial" w:cs="Arial"/>
        </w:rPr>
      </w:pPr>
    </w:p>
    <w:p w:rsidR="00966E1E" w:rsidRDefault="00966E1E" w:rsidP="00B30064">
      <w:pPr>
        <w:spacing w:line="276" w:lineRule="auto"/>
        <w:jc w:val="center"/>
        <w:rPr>
          <w:rFonts w:ascii="Arial" w:hAnsi="Arial" w:cs="Arial"/>
          <w:b/>
        </w:rPr>
      </w:pPr>
    </w:p>
    <w:p w:rsidR="00C07BC7" w:rsidRPr="00B30064" w:rsidRDefault="00B30064" w:rsidP="00B30064">
      <w:pPr>
        <w:spacing w:line="276" w:lineRule="auto"/>
        <w:jc w:val="center"/>
        <w:rPr>
          <w:rFonts w:ascii="Arial" w:hAnsi="Arial" w:cs="Arial"/>
          <w:b/>
        </w:rPr>
      </w:pPr>
      <w:r w:rsidRPr="00B30064">
        <w:rPr>
          <w:rFonts w:ascii="Arial" w:hAnsi="Arial" w:cs="Arial"/>
          <w:b/>
        </w:rPr>
        <w:t>Vitoria-Gasteiz</w:t>
      </w:r>
    </w:p>
    <w:p w:rsidR="00C07BC7" w:rsidRPr="00C07BC7" w:rsidRDefault="00C07BC7" w:rsidP="00C07BC7">
      <w:pPr>
        <w:spacing w:line="276" w:lineRule="auto"/>
        <w:jc w:val="center"/>
        <w:rPr>
          <w:rFonts w:ascii="Arial" w:hAnsi="Arial" w:cs="Arial"/>
          <w:b/>
        </w:rPr>
      </w:pPr>
      <w:r w:rsidRPr="00C07BC7">
        <w:rPr>
          <w:rFonts w:ascii="Arial" w:hAnsi="Arial" w:cs="Arial"/>
          <w:b/>
        </w:rPr>
        <w:t>Presidenta</w:t>
      </w:r>
      <w:r>
        <w:rPr>
          <w:rFonts w:ascii="Arial" w:hAnsi="Arial" w:cs="Arial"/>
          <w:b/>
        </w:rPr>
        <w:t xml:space="preserve"> de la Comisión Vasca de Acceso a la Información Pública</w:t>
      </w:r>
    </w:p>
    <w:p w:rsidR="00C07BC7" w:rsidRPr="00C07BC7" w:rsidRDefault="00C07BC7" w:rsidP="00C07BC7">
      <w:pPr>
        <w:spacing w:line="276" w:lineRule="auto"/>
        <w:jc w:val="center"/>
        <w:rPr>
          <w:rFonts w:ascii="Arial" w:hAnsi="Arial" w:cs="Arial"/>
          <w:b/>
        </w:rPr>
      </w:pPr>
    </w:p>
    <w:p w:rsidR="00C07BC7" w:rsidRPr="00C07BC7" w:rsidRDefault="00C07BC7" w:rsidP="00C07BC7">
      <w:pPr>
        <w:spacing w:line="276" w:lineRule="auto"/>
        <w:jc w:val="center"/>
        <w:rPr>
          <w:rFonts w:ascii="Arial" w:hAnsi="Arial" w:cs="Arial"/>
          <w:b/>
        </w:rPr>
      </w:pPr>
    </w:p>
    <w:p w:rsidR="00C07BC7" w:rsidRPr="00C07BC7" w:rsidRDefault="00C07BC7" w:rsidP="00C07BC7">
      <w:pPr>
        <w:spacing w:line="276" w:lineRule="auto"/>
        <w:jc w:val="center"/>
        <w:rPr>
          <w:rFonts w:ascii="Arial" w:hAnsi="Arial" w:cs="Arial"/>
          <w:b/>
        </w:rPr>
      </w:pPr>
    </w:p>
    <w:p w:rsidR="00C07BC7" w:rsidRPr="00C07BC7" w:rsidRDefault="00C07BC7" w:rsidP="00C07BC7">
      <w:pPr>
        <w:spacing w:line="276" w:lineRule="auto"/>
        <w:jc w:val="center"/>
        <w:rPr>
          <w:rFonts w:ascii="Arial" w:hAnsi="Arial" w:cs="Arial"/>
          <w:b/>
        </w:rPr>
      </w:pPr>
    </w:p>
    <w:p w:rsidR="00C07BC7" w:rsidRPr="00C07BC7" w:rsidRDefault="00B12580" w:rsidP="00C07BC7">
      <w:pPr>
        <w:spacing w:line="276" w:lineRule="auto"/>
        <w:jc w:val="center"/>
        <w:rPr>
          <w:rFonts w:ascii="Arial" w:hAnsi="Arial" w:cs="Arial"/>
          <w:b/>
        </w:rPr>
      </w:pPr>
      <w:r>
        <w:rPr>
          <w:rFonts w:ascii="Arial" w:hAnsi="Arial" w:cs="Arial"/>
          <w:b/>
        </w:rPr>
        <w:t>Miren Martiarena Bark</w:t>
      </w:r>
      <w:r w:rsidR="004D2323">
        <w:rPr>
          <w:rFonts w:ascii="Arial" w:hAnsi="Arial" w:cs="Arial"/>
          <w:b/>
        </w:rPr>
        <w:t>aizteg</w:t>
      </w:r>
      <w:r w:rsidR="00C07BC7" w:rsidRPr="00C07BC7">
        <w:rPr>
          <w:rFonts w:ascii="Arial" w:hAnsi="Arial" w:cs="Arial"/>
          <w:b/>
        </w:rPr>
        <w:t>i</w:t>
      </w:r>
    </w:p>
    <w:p w:rsidR="00F37272" w:rsidRDefault="00F37272" w:rsidP="00F37272">
      <w:pPr>
        <w:tabs>
          <w:tab w:val="center" w:pos="4532"/>
        </w:tabs>
        <w:spacing w:line="276" w:lineRule="auto"/>
        <w:jc w:val="both"/>
        <w:rPr>
          <w:rFonts w:ascii="Arial" w:hAnsi="Arial" w:cs="Arial"/>
        </w:rPr>
      </w:pPr>
      <w:bookmarkStart w:id="0" w:name="_GoBack"/>
      <w:bookmarkEnd w:id="0"/>
    </w:p>
    <w:p w:rsidR="00F37272" w:rsidRDefault="00F37272" w:rsidP="00F37272">
      <w:pPr>
        <w:tabs>
          <w:tab w:val="center" w:pos="4532"/>
        </w:tabs>
        <w:spacing w:line="276" w:lineRule="auto"/>
        <w:jc w:val="both"/>
        <w:rPr>
          <w:rFonts w:ascii="Arial" w:hAnsi="Arial" w:cs="Arial"/>
        </w:rPr>
      </w:pPr>
    </w:p>
    <w:p w:rsidR="00F37272" w:rsidRDefault="00F37272" w:rsidP="00F37272">
      <w:pPr>
        <w:tabs>
          <w:tab w:val="center" w:pos="4532"/>
        </w:tabs>
        <w:spacing w:line="276" w:lineRule="auto"/>
        <w:jc w:val="both"/>
        <w:rPr>
          <w:rFonts w:ascii="Arial" w:hAnsi="Arial" w:cs="Arial"/>
        </w:rPr>
      </w:pPr>
    </w:p>
    <w:p w:rsidR="00F37272" w:rsidRPr="00F37272" w:rsidRDefault="00F37272" w:rsidP="00F37272">
      <w:pPr>
        <w:tabs>
          <w:tab w:val="center" w:pos="4532"/>
        </w:tabs>
        <w:spacing w:line="276" w:lineRule="auto"/>
        <w:jc w:val="both"/>
        <w:rPr>
          <w:rFonts w:ascii="Arial" w:hAnsi="Arial" w:cs="Arial"/>
        </w:rPr>
      </w:pPr>
    </w:p>
    <w:p w:rsidR="00F37272" w:rsidRPr="00F37272" w:rsidRDefault="00F37272" w:rsidP="00F37272">
      <w:pPr>
        <w:tabs>
          <w:tab w:val="center" w:pos="4532"/>
        </w:tabs>
        <w:spacing w:line="276" w:lineRule="auto"/>
        <w:jc w:val="both"/>
        <w:rPr>
          <w:rFonts w:ascii="Arial" w:hAnsi="Arial" w:cs="Arial"/>
        </w:rPr>
      </w:pPr>
    </w:p>
    <w:p w:rsidR="00F37272" w:rsidRPr="00F37272" w:rsidRDefault="00F37272" w:rsidP="00F37272">
      <w:pPr>
        <w:tabs>
          <w:tab w:val="center" w:pos="4532"/>
        </w:tabs>
        <w:spacing w:line="276" w:lineRule="auto"/>
        <w:jc w:val="both"/>
        <w:rPr>
          <w:rFonts w:ascii="Arial" w:hAnsi="Arial" w:cs="Arial"/>
        </w:rPr>
      </w:pPr>
    </w:p>
    <w:p w:rsidR="00F37272" w:rsidRPr="00F37272" w:rsidRDefault="00F37272" w:rsidP="00F37272">
      <w:pPr>
        <w:tabs>
          <w:tab w:val="center" w:pos="4532"/>
        </w:tabs>
        <w:spacing w:line="276" w:lineRule="auto"/>
        <w:jc w:val="both"/>
        <w:rPr>
          <w:rFonts w:ascii="Arial" w:hAnsi="Arial" w:cs="Arial"/>
        </w:rPr>
      </w:pPr>
    </w:p>
    <w:p w:rsidR="00F37272" w:rsidRPr="00F37272" w:rsidRDefault="00F37272" w:rsidP="00F37272">
      <w:pPr>
        <w:tabs>
          <w:tab w:val="center" w:pos="4532"/>
        </w:tabs>
        <w:spacing w:line="276" w:lineRule="auto"/>
        <w:jc w:val="both"/>
        <w:rPr>
          <w:rFonts w:ascii="Arial" w:hAnsi="Arial" w:cs="Arial"/>
        </w:rPr>
      </w:pPr>
    </w:p>
    <w:p w:rsidR="00F37272" w:rsidRPr="00F37272" w:rsidRDefault="00F37272" w:rsidP="00F37272">
      <w:pPr>
        <w:tabs>
          <w:tab w:val="center" w:pos="4532"/>
        </w:tabs>
        <w:spacing w:line="276" w:lineRule="auto"/>
        <w:jc w:val="both"/>
        <w:rPr>
          <w:rFonts w:ascii="Arial" w:hAnsi="Arial" w:cs="Arial"/>
        </w:rPr>
      </w:pPr>
    </w:p>
    <w:p w:rsidR="00F37272" w:rsidRPr="00F37272" w:rsidRDefault="00F37272" w:rsidP="00F37272">
      <w:pPr>
        <w:tabs>
          <w:tab w:val="center" w:pos="4532"/>
        </w:tabs>
        <w:spacing w:line="276" w:lineRule="auto"/>
        <w:jc w:val="both"/>
        <w:rPr>
          <w:rFonts w:ascii="Arial" w:hAnsi="Arial" w:cs="Arial"/>
        </w:rPr>
      </w:pPr>
    </w:p>
    <w:p w:rsidR="00C23D2A" w:rsidRDefault="00C23D2A" w:rsidP="00467C15">
      <w:pPr>
        <w:tabs>
          <w:tab w:val="center" w:pos="4532"/>
        </w:tabs>
        <w:spacing w:line="276" w:lineRule="auto"/>
        <w:jc w:val="both"/>
        <w:rPr>
          <w:rFonts w:ascii="Arial" w:hAnsi="Arial" w:cs="Arial"/>
        </w:rPr>
      </w:pPr>
    </w:p>
    <w:p w:rsidR="004D2323" w:rsidRDefault="004D2323" w:rsidP="00467C15">
      <w:pPr>
        <w:tabs>
          <w:tab w:val="center" w:pos="4532"/>
        </w:tabs>
        <w:spacing w:line="276" w:lineRule="auto"/>
        <w:jc w:val="both"/>
        <w:rPr>
          <w:rFonts w:ascii="Arial" w:hAnsi="Arial" w:cs="Arial"/>
        </w:rPr>
      </w:pPr>
    </w:p>
    <w:sectPr w:rsidR="004D2323" w:rsidSect="00B32E90">
      <w:headerReference w:type="default" r:id="rId9"/>
      <w:footerReference w:type="default" r:id="rId10"/>
      <w:pgSz w:w="11900" w:h="16840" w:code="9"/>
      <w:pgMar w:top="1985"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F56" w:rsidRDefault="00806F56" w:rsidP="007E1B3D">
      <w:r>
        <w:separator/>
      </w:r>
    </w:p>
  </w:endnote>
  <w:endnote w:type="continuationSeparator" w:id="0">
    <w:p w:rsidR="00806F56" w:rsidRDefault="00806F56" w:rsidP="007E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03077"/>
      <w:docPartObj>
        <w:docPartGallery w:val="Page Numbers (Bottom of Page)"/>
        <w:docPartUnique/>
      </w:docPartObj>
    </w:sdtPr>
    <w:sdtEndPr>
      <w:rPr>
        <w:rFonts w:ascii="Arial" w:hAnsi="Arial" w:cs="Arial"/>
        <w:sz w:val="20"/>
      </w:rPr>
    </w:sdtEndPr>
    <w:sdtContent>
      <w:p w:rsidR="00753656" w:rsidRPr="0034564D" w:rsidRDefault="00753656" w:rsidP="00753656">
        <w:pPr>
          <w:pStyle w:val="Piedepgina"/>
          <w:pBdr>
            <w:top w:val="single" w:sz="4" w:space="1" w:color="auto"/>
          </w:pBdr>
          <w:tabs>
            <w:tab w:val="clear" w:pos="4252"/>
            <w:tab w:val="clear" w:pos="8504"/>
            <w:tab w:val="center" w:pos="4819"/>
          </w:tabs>
          <w:spacing w:line="20" w:lineRule="exact"/>
          <w:ind w:right="-143"/>
          <w:jc w:val="both"/>
          <w:rPr>
            <w:rFonts w:ascii="Arial" w:eastAsia="Times New Roman" w:hAnsi="Arial" w:cs="Times New Roman"/>
            <w:sz w:val="16"/>
            <w:szCs w:val="16"/>
            <w:lang w:eastAsia="es-ES_tradnl"/>
          </w:rPr>
        </w:pPr>
      </w:p>
      <w:tbl>
        <w:tblPr>
          <w:tblW w:w="9214" w:type="dxa"/>
          <w:tblInd w:w="70" w:type="dxa"/>
          <w:tblLayout w:type="fixed"/>
          <w:tblCellMar>
            <w:left w:w="70" w:type="dxa"/>
            <w:right w:w="70" w:type="dxa"/>
          </w:tblCellMar>
          <w:tblLook w:val="0000" w:firstRow="0" w:lastRow="0" w:firstColumn="0" w:lastColumn="0" w:noHBand="0" w:noVBand="0"/>
        </w:tblPr>
        <w:tblGrid>
          <w:gridCol w:w="7229"/>
          <w:gridCol w:w="1985"/>
        </w:tblGrid>
        <w:tr w:rsidR="00753656" w:rsidRPr="0034564D" w:rsidTr="004153C0">
          <w:tc>
            <w:tcPr>
              <w:tcW w:w="7229" w:type="dxa"/>
            </w:tcPr>
            <w:p w:rsidR="00753656" w:rsidRPr="0034564D" w:rsidRDefault="007A2A0B" w:rsidP="00B53EB8">
              <w:pPr>
                <w:spacing w:before="60"/>
                <w:ind w:right="72"/>
                <w:rPr>
                  <w:rFonts w:ascii="Arial" w:hAnsi="Arial"/>
                  <w:sz w:val="20"/>
                </w:rPr>
              </w:pPr>
              <w:r>
                <w:rPr>
                  <w:rFonts w:ascii="Arial" w:hAnsi="Arial"/>
                  <w:sz w:val="20"/>
                </w:rPr>
                <w:t>Resolución</w:t>
              </w:r>
              <w:r w:rsidR="00DA7880">
                <w:rPr>
                  <w:rFonts w:ascii="Arial" w:hAnsi="Arial"/>
                  <w:sz w:val="20"/>
                </w:rPr>
                <w:t xml:space="preserve"> 110</w:t>
              </w:r>
              <w:r w:rsidR="00BF4424">
                <w:rPr>
                  <w:rFonts w:ascii="Arial" w:hAnsi="Arial"/>
                  <w:sz w:val="20"/>
                </w:rPr>
                <w:t>/2021</w:t>
              </w:r>
            </w:p>
          </w:tc>
          <w:tc>
            <w:tcPr>
              <w:tcW w:w="1985" w:type="dxa"/>
            </w:tcPr>
            <w:p w:rsidR="00753656" w:rsidRPr="00CB6D1E" w:rsidRDefault="00753656" w:rsidP="00B53EB8">
              <w:pPr>
                <w:pStyle w:val="Piedepgina"/>
                <w:spacing w:before="60"/>
                <w:jc w:val="right"/>
                <w:rPr>
                  <w:rFonts w:ascii="Arial" w:hAnsi="Arial" w:cs="Arial"/>
                  <w:sz w:val="20"/>
                </w:rPr>
              </w:pPr>
              <w:r w:rsidRPr="00CB6D1E">
                <w:rPr>
                  <w:rFonts w:ascii="Arial" w:hAnsi="Arial" w:cs="Arial"/>
                  <w:sz w:val="20"/>
                </w:rPr>
                <w:fldChar w:fldCharType="begin"/>
              </w:r>
              <w:r w:rsidRPr="00CB6D1E">
                <w:rPr>
                  <w:rFonts w:ascii="Arial" w:hAnsi="Arial" w:cs="Arial"/>
                  <w:sz w:val="20"/>
                </w:rPr>
                <w:instrText>PAGE  \* Arabic  \* MERGEFORMAT</w:instrText>
              </w:r>
              <w:r w:rsidRPr="00CB6D1E">
                <w:rPr>
                  <w:rFonts w:ascii="Arial" w:hAnsi="Arial" w:cs="Arial"/>
                  <w:sz w:val="20"/>
                </w:rPr>
                <w:fldChar w:fldCharType="separate"/>
              </w:r>
              <w:r w:rsidR="00B97450">
                <w:rPr>
                  <w:rFonts w:ascii="Arial" w:hAnsi="Arial" w:cs="Arial"/>
                  <w:noProof/>
                  <w:sz w:val="20"/>
                </w:rPr>
                <w:t>5</w:t>
              </w:r>
              <w:r w:rsidRPr="00CB6D1E">
                <w:rPr>
                  <w:rFonts w:ascii="Arial" w:hAnsi="Arial" w:cs="Arial"/>
                  <w:sz w:val="20"/>
                </w:rPr>
                <w:fldChar w:fldCharType="end"/>
              </w:r>
              <w:r w:rsidRPr="00CB6D1E">
                <w:rPr>
                  <w:rFonts w:ascii="Arial" w:hAnsi="Arial" w:cs="Arial"/>
                  <w:sz w:val="20"/>
                </w:rPr>
                <w:t>/</w:t>
              </w:r>
              <w:r w:rsidRPr="00CB6D1E">
                <w:rPr>
                  <w:rFonts w:ascii="Arial" w:hAnsi="Arial" w:cs="Arial"/>
                  <w:sz w:val="20"/>
                </w:rPr>
                <w:fldChar w:fldCharType="begin"/>
              </w:r>
              <w:r w:rsidRPr="00CB6D1E">
                <w:rPr>
                  <w:rFonts w:ascii="Arial" w:hAnsi="Arial" w:cs="Arial"/>
                  <w:sz w:val="20"/>
                </w:rPr>
                <w:instrText>NUMPAGES  \* Arabic  \* MERGEFORMAT</w:instrText>
              </w:r>
              <w:r w:rsidRPr="00CB6D1E">
                <w:rPr>
                  <w:rFonts w:ascii="Arial" w:hAnsi="Arial" w:cs="Arial"/>
                  <w:sz w:val="20"/>
                </w:rPr>
                <w:fldChar w:fldCharType="separate"/>
              </w:r>
              <w:r w:rsidR="00B97450">
                <w:rPr>
                  <w:rFonts w:ascii="Arial" w:hAnsi="Arial" w:cs="Arial"/>
                  <w:noProof/>
                  <w:sz w:val="20"/>
                </w:rPr>
                <w:t>5</w:t>
              </w:r>
              <w:r w:rsidRPr="00CB6D1E">
                <w:rPr>
                  <w:rFonts w:ascii="Arial" w:hAnsi="Arial" w:cs="Arial"/>
                  <w:sz w:val="20"/>
                </w:rPr>
                <w:fldChar w:fldCharType="end"/>
              </w:r>
            </w:p>
          </w:tc>
        </w:tr>
      </w:tbl>
      <w:p w:rsidR="00753656" w:rsidRPr="00F517A6" w:rsidRDefault="00806F56" w:rsidP="00753656">
        <w:pPr>
          <w:pStyle w:val="Piedepgina"/>
          <w:rPr>
            <w:rFonts w:ascii="Arial" w:hAnsi="Arial" w:cs="Arial"/>
            <w:sz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F56" w:rsidRDefault="00806F56" w:rsidP="007E1B3D">
      <w:r>
        <w:separator/>
      </w:r>
    </w:p>
  </w:footnote>
  <w:footnote w:type="continuationSeparator" w:id="0">
    <w:p w:rsidR="00806F56" w:rsidRDefault="00806F56" w:rsidP="007E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90" w:rsidRDefault="00B32E90" w:rsidP="00B32E90">
    <w:pPr>
      <w:pStyle w:val="Encabezado"/>
      <w:tabs>
        <w:tab w:val="clear" w:pos="4252"/>
        <w:tab w:val="clear" w:pos="8504"/>
        <w:tab w:val="center" w:pos="4536"/>
        <w:tab w:val="right" w:pos="9072"/>
      </w:tabs>
      <w:ind w:right="-8"/>
      <w:jc w:val="center"/>
    </w:pPr>
    <w:r>
      <w:rPr>
        <w:noProof/>
        <w:lang w:val="eu-ES" w:eastAsia="eu-ES"/>
      </w:rPr>
      <w:drawing>
        <wp:inline distT="0" distB="0" distL="0" distR="0" wp14:anchorId="53F8D995" wp14:editId="0CC00A77">
          <wp:extent cx="2880360" cy="365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365760"/>
                  </a:xfrm>
                  <a:prstGeom prst="rect">
                    <a:avLst/>
                  </a:prstGeom>
                  <a:noFill/>
                  <a:ln>
                    <a:noFill/>
                  </a:ln>
                </pic:spPr>
              </pic:pic>
            </a:graphicData>
          </a:graphic>
        </wp:inline>
      </w:drawing>
    </w:r>
    <w:r>
      <w:rPr>
        <w:noProof/>
        <w:lang w:val="eu-ES" w:eastAsia="eu-ES"/>
      </w:rPr>
      <mc:AlternateContent>
        <mc:Choice Requires="wps">
          <w:drawing>
            <wp:anchor distT="4294967295" distB="4294967295" distL="114300" distR="114300" simplePos="0" relativeHeight="251659264" behindDoc="0" locked="0" layoutInCell="1" allowOverlap="1" wp14:anchorId="3E5E28D5" wp14:editId="3D5156A9">
              <wp:simplePos x="0" y="0"/>
              <wp:positionH relativeFrom="column">
                <wp:posOffset>1905</wp:posOffset>
              </wp:positionH>
              <wp:positionV relativeFrom="paragraph">
                <wp:posOffset>493395</wp:posOffset>
              </wp:positionV>
              <wp:extent cx="5715000" cy="0"/>
              <wp:effectExtent l="38100" t="38100" r="57150" b="952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699D4D2E" id="Conector recto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38.85pt" to="450.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" strokecolor="windowText" strokeweight=".25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4D11"/>
    <w:multiLevelType w:val="hybridMultilevel"/>
    <w:tmpl w:val="2A2C532E"/>
    <w:lvl w:ilvl="0" w:tplc="42EA84C6">
      <w:start w:val="3"/>
      <w:numFmt w:val="bullet"/>
      <w:lvlText w:val="-"/>
      <w:lvlJc w:val="left"/>
      <w:pPr>
        <w:ind w:left="720" w:hanging="360"/>
      </w:pPr>
      <w:rPr>
        <w:rFonts w:ascii="Arial" w:eastAsiaTheme="minorEastAsia"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63723"/>
    <w:multiLevelType w:val="hybridMultilevel"/>
    <w:tmpl w:val="D0B2BB4C"/>
    <w:lvl w:ilvl="0" w:tplc="0C0A000F">
      <w:start w:val="1"/>
      <w:numFmt w:val="decimal"/>
      <w:lvlText w:val="%1."/>
      <w:lvlJc w:val="left"/>
      <w:pPr>
        <w:ind w:left="720" w:hanging="360"/>
      </w:pPr>
      <w:rPr>
        <w:rFonts w:cs="Times New Roman"/>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7D0E42D6"/>
    <w:multiLevelType w:val="hybridMultilevel"/>
    <w:tmpl w:val="630E84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EB"/>
    <w:rsid w:val="000167BD"/>
    <w:rsid w:val="00030291"/>
    <w:rsid w:val="00030833"/>
    <w:rsid w:val="00051175"/>
    <w:rsid w:val="00071BFD"/>
    <w:rsid w:val="00097431"/>
    <w:rsid w:val="000D694D"/>
    <w:rsid w:val="00104A8F"/>
    <w:rsid w:val="00107E2F"/>
    <w:rsid w:val="001154C7"/>
    <w:rsid w:val="00143AD1"/>
    <w:rsid w:val="00155AD2"/>
    <w:rsid w:val="00161BE2"/>
    <w:rsid w:val="001D375E"/>
    <w:rsid w:val="001F760D"/>
    <w:rsid w:val="0021335B"/>
    <w:rsid w:val="0021788B"/>
    <w:rsid w:val="00233B48"/>
    <w:rsid w:val="00245256"/>
    <w:rsid w:val="0025438B"/>
    <w:rsid w:val="002814D6"/>
    <w:rsid w:val="002A6BD3"/>
    <w:rsid w:val="002E7914"/>
    <w:rsid w:val="002F6BA0"/>
    <w:rsid w:val="002F7347"/>
    <w:rsid w:val="00301DF4"/>
    <w:rsid w:val="0030452A"/>
    <w:rsid w:val="00304BF6"/>
    <w:rsid w:val="00343BDD"/>
    <w:rsid w:val="0035545C"/>
    <w:rsid w:val="00360837"/>
    <w:rsid w:val="003E1EFC"/>
    <w:rsid w:val="003F1584"/>
    <w:rsid w:val="003F455A"/>
    <w:rsid w:val="00404589"/>
    <w:rsid w:val="0041422B"/>
    <w:rsid w:val="004153C0"/>
    <w:rsid w:val="004405FB"/>
    <w:rsid w:val="00455BC6"/>
    <w:rsid w:val="00467C15"/>
    <w:rsid w:val="004A0446"/>
    <w:rsid w:val="004C0FAF"/>
    <w:rsid w:val="004D2323"/>
    <w:rsid w:val="004E1396"/>
    <w:rsid w:val="004F6E8B"/>
    <w:rsid w:val="005115DD"/>
    <w:rsid w:val="00522C22"/>
    <w:rsid w:val="00524BB4"/>
    <w:rsid w:val="00563C9F"/>
    <w:rsid w:val="005A2CC6"/>
    <w:rsid w:val="005C6AE1"/>
    <w:rsid w:val="005E641C"/>
    <w:rsid w:val="005F70EB"/>
    <w:rsid w:val="00607429"/>
    <w:rsid w:val="0061577E"/>
    <w:rsid w:val="00627EC6"/>
    <w:rsid w:val="006560C5"/>
    <w:rsid w:val="0066572A"/>
    <w:rsid w:val="006A4E63"/>
    <w:rsid w:val="006D0378"/>
    <w:rsid w:val="006D1C00"/>
    <w:rsid w:val="0070222B"/>
    <w:rsid w:val="0072093D"/>
    <w:rsid w:val="00753656"/>
    <w:rsid w:val="00766539"/>
    <w:rsid w:val="0078201B"/>
    <w:rsid w:val="00790A3C"/>
    <w:rsid w:val="007A2A0B"/>
    <w:rsid w:val="007B51DC"/>
    <w:rsid w:val="007D49DA"/>
    <w:rsid w:val="007E1B3D"/>
    <w:rsid w:val="007E4EF0"/>
    <w:rsid w:val="007F157C"/>
    <w:rsid w:val="00806F56"/>
    <w:rsid w:val="0080794B"/>
    <w:rsid w:val="0081483E"/>
    <w:rsid w:val="00876723"/>
    <w:rsid w:val="00882CD2"/>
    <w:rsid w:val="00890E80"/>
    <w:rsid w:val="008B6C85"/>
    <w:rsid w:val="008C0306"/>
    <w:rsid w:val="008C611D"/>
    <w:rsid w:val="008D26C2"/>
    <w:rsid w:val="008D5C40"/>
    <w:rsid w:val="008E0A57"/>
    <w:rsid w:val="008E3C59"/>
    <w:rsid w:val="0090648A"/>
    <w:rsid w:val="00932FD2"/>
    <w:rsid w:val="00935892"/>
    <w:rsid w:val="0094763C"/>
    <w:rsid w:val="0094776C"/>
    <w:rsid w:val="00966E1E"/>
    <w:rsid w:val="00976595"/>
    <w:rsid w:val="009B6574"/>
    <w:rsid w:val="009D760A"/>
    <w:rsid w:val="009F33B5"/>
    <w:rsid w:val="009F341B"/>
    <w:rsid w:val="00A1180E"/>
    <w:rsid w:val="00A222CB"/>
    <w:rsid w:val="00A62C3C"/>
    <w:rsid w:val="00A92618"/>
    <w:rsid w:val="00A9425F"/>
    <w:rsid w:val="00AA45A3"/>
    <w:rsid w:val="00AC7F0D"/>
    <w:rsid w:val="00AD3734"/>
    <w:rsid w:val="00AF7919"/>
    <w:rsid w:val="00B01C4C"/>
    <w:rsid w:val="00B12580"/>
    <w:rsid w:val="00B16E1C"/>
    <w:rsid w:val="00B20937"/>
    <w:rsid w:val="00B30064"/>
    <w:rsid w:val="00B32E90"/>
    <w:rsid w:val="00B407AA"/>
    <w:rsid w:val="00B560A0"/>
    <w:rsid w:val="00B61BFA"/>
    <w:rsid w:val="00B668F4"/>
    <w:rsid w:val="00B66E4A"/>
    <w:rsid w:val="00B904F4"/>
    <w:rsid w:val="00B97450"/>
    <w:rsid w:val="00BC1235"/>
    <w:rsid w:val="00BE5A32"/>
    <w:rsid w:val="00BF1211"/>
    <w:rsid w:val="00BF4424"/>
    <w:rsid w:val="00BF770D"/>
    <w:rsid w:val="00BF785D"/>
    <w:rsid w:val="00C07BC7"/>
    <w:rsid w:val="00C23D2A"/>
    <w:rsid w:val="00C46F1E"/>
    <w:rsid w:val="00C54D92"/>
    <w:rsid w:val="00C55D78"/>
    <w:rsid w:val="00C65EFB"/>
    <w:rsid w:val="00C713DB"/>
    <w:rsid w:val="00CA4827"/>
    <w:rsid w:val="00CD2234"/>
    <w:rsid w:val="00CD71FD"/>
    <w:rsid w:val="00CE069C"/>
    <w:rsid w:val="00CE11D4"/>
    <w:rsid w:val="00CF2CC5"/>
    <w:rsid w:val="00CF2F66"/>
    <w:rsid w:val="00D017E8"/>
    <w:rsid w:val="00D221E5"/>
    <w:rsid w:val="00D3457D"/>
    <w:rsid w:val="00D4343D"/>
    <w:rsid w:val="00D6458C"/>
    <w:rsid w:val="00DA7880"/>
    <w:rsid w:val="00DD22BC"/>
    <w:rsid w:val="00DF0EBD"/>
    <w:rsid w:val="00E373D8"/>
    <w:rsid w:val="00E81FC1"/>
    <w:rsid w:val="00E9063D"/>
    <w:rsid w:val="00E95F82"/>
    <w:rsid w:val="00EA0F17"/>
    <w:rsid w:val="00F23E43"/>
    <w:rsid w:val="00F33B81"/>
    <w:rsid w:val="00F351D9"/>
    <w:rsid w:val="00F37272"/>
    <w:rsid w:val="00F4027A"/>
    <w:rsid w:val="00F74359"/>
    <w:rsid w:val="00F766AF"/>
    <w:rsid w:val="00FB0FC5"/>
    <w:rsid w:val="00FB29A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4E37BF"/>
  <w14:defaultImageDpi w14:val="300"/>
  <w15:docId w15:val="{BA79D131-7490-4C99-9940-09B3F87C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5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B3D"/>
    <w:pPr>
      <w:tabs>
        <w:tab w:val="center" w:pos="4252"/>
        <w:tab w:val="right" w:pos="8504"/>
      </w:tabs>
    </w:pPr>
  </w:style>
  <w:style w:type="character" w:customStyle="1" w:styleId="EncabezadoCar">
    <w:name w:val="Encabezado Car"/>
    <w:basedOn w:val="Fuentedeprrafopredeter"/>
    <w:link w:val="Encabezado"/>
    <w:uiPriority w:val="99"/>
    <w:rsid w:val="007E1B3D"/>
  </w:style>
  <w:style w:type="paragraph" w:styleId="Piedepgina">
    <w:name w:val="footer"/>
    <w:basedOn w:val="Normal"/>
    <w:link w:val="PiedepginaCar"/>
    <w:uiPriority w:val="99"/>
    <w:unhideWhenUsed/>
    <w:rsid w:val="007E1B3D"/>
    <w:pPr>
      <w:tabs>
        <w:tab w:val="center" w:pos="4252"/>
        <w:tab w:val="right" w:pos="8504"/>
      </w:tabs>
    </w:pPr>
  </w:style>
  <w:style w:type="character" w:customStyle="1" w:styleId="PiedepginaCar">
    <w:name w:val="Pie de página Car"/>
    <w:basedOn w:val="Fuentedeprrafopredeter"/>
    <w:link w:val="Piedepgina"/>
    <w:uiPriority w:val="99"/>
    <w:rsid w:val="007E1B3D"/>
  </w:style>
  <w:style w:type="paragraph" w:styleId="Textodeglobo">
    <w:name w:val="Balloon Text"/>
    <w:basedOn w:val="Normal"/>
    <w:link w:val="TextodegloboCar"/>
    <w:uiPriority w:val="99"/>
    <w:semiHidden/>
    <w:unhideWhenUsed/>
    <w:rsid w:val="007E1B3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E1B3D"/>
    <w:rPr>
      <w:rFonts w:ascii="Lucida Grande" w:hAnsi="Lucida Grande" w:cs="Lucida Grande"/>
      <w:sz w:val="18"/>
      <w:szCs w:val="18"/>
    </w:rPr>
  </w:style>
  <w:style w:type="table" w:styleId="Tablaconcuadrcula">
    <w:name w:val="Table Grid"/>
    <w:basedOn w:val="Tablanormal"/>
    <w:uiPriority w:val="39"/>
    <w:rsid w:val="00753656"/>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3656"/>
    <w:pPr>
      <w:spacing w:after="200" w:line="276" w:lineRule="auto"/>
      <w:ind w:left="720"/>
      <w:contextualSpacing/>
    </w:pPr>
    <w:rPr>
      <w:rFonts w:eastAsiaTheme="minorHAnsi"/>
      <w:sz w:val="22"/>
      <w:szCs w:val="22"/>
      <w:lang w:val="es-ES" w:eastAsia="en-US"/>
    </w:rPr>
  </w:style>
  <w:style w:type="paragraph" w:customStyle="1" w:styleId="bopvdetalle">
    <w:name w:val="bopvdetalle"/>
    <w:basedOn w:val="Normal"/>
    <w:rsid w:val="002F7347"/>
    <w:pPr>
      <w:ind w:firstLine="180"/>
      <w:jc w:val="both"/>
    </w:pPr>
    <w:rPr>
      <w:rFonts w:ascii="Arial" w:eastAsia="Times New Roman" w:hAnsi="Arial" w:cs="Arial"/>
      <w:sz w:val="20"/>
      <w:szCs w:val="20"/>
      <w:lang w:val="es-ES"/>
    </w:rPr>
  </w:style>
  <w:style w:type="paragraph" w:customStyle="1" w:styleId="articulo1">
    <w:name w:val="articulo1"/>
    <w:basedOn w:val="Normal"/>
    <w:rsid w:val="002F7347"/>
    <w:pPr>
      <w:spacing w:before="360" w:after="180"/>
    </w:pPr>
    <w:rPr>
      <w:rFonts w:ascii="Times New Roman" w:eastAsia="Times New Roman" w:hAnsi="Times New Roman" w:cs="Times New Roman"/>
      <w:b/>
      <w:bCs/>
      <w:lang w:val="es-ES"/>
    </w:rPr>
  </w:style>
  <w:style w:type="paragraph" w:customStyle="1" w:styleId="parrafo1">
    <w:name w:val="parrafo1"/>
    <w:basedOn w:val="Normal"/>
    <w:rsid w:val="002F7347"/>
    <w:pPr>
      <w:spacing w:before="180" w:after="180"/>
      <w:ind w:firstLine="360"/>
      <w:jc w:val="both"/>
    </w:pPr>
    <w:rPr>
      <w:rFonts w:ascii="Times New Roman" w:eastAsia="Times New Roman" w:hAnsi="Times New Roman" w:cs="Times New Roman"/>
      <w:lang w:val="es-ES"/>
    </w:rPr>
  </w:style>
  <w:style w:type="character" w:styleId="Hipervnculo">
    <w:name w:val="Hyperlink"/>
    <w:basedOn w:val="Fuentedeprrafopredeter"/>
    <w:uiPriority w:val="99"/>
    <w:unhideWhenUsed/>
    <w:rsid w:val="00455BC6"/>
    <w:rPr>
      <w:color w:val="0000FF" w:themeColor="hyperlink"/>
      <w:u w:val="single"/>
    </w:rPr>
  </w:style>
  <w:style w:type="paragraph" w:customStyle="1" w:styleId="Default">
    <w:name w:val="Default"/>
    <w:rsid w:val="0094763C"/>
    <w:pPr>
      <w:autoSpaceDE w:val="0"/>
      <w:autoSpaceDN w:val="0"/>
      <w:adjustRightInd w:val="0"/>
    </w:pPr>
    <w:rPr>
      <w:rFonts w:ascii="Calibri" w:hAnsi="Calibri" w:cs="Calibri"/>
      <w:color w:val="000000"/>
      <w:lang w:val="es-ES"/>
    </w:rPr>
  </w:style>
  <w:style w:type="table" w:customStyle="1" w:styleId="TableGrid">
    <w:name w:val="TableGrid"/>
    <w:rsid w:val="007D49DA"/>
    <w:rPr>
      <w:sz w:val="22"/>
      <w:szCs w:val="22"/>
      <w:lang w:val="en-US" w:eastAsia="en-US"/>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8148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61830">
      <w:bodyDiv w:val="1"/>
      <w:marLeft w:val="0"/>
      <w:marRight w:val="0"/>
      <w:marTop w:val="0"/>
      <w:marBottom w:val="0"/>
      <w:divBdr>
        <w:top w:val="none" w:sz="0" w:space="0" w:color="auto"/>
        <w:left w:val="none" w:sz="0" w:space="0" w:color="auto"/>
        <w:bottom w:val="none" w:sz="0" w:space="0" w:color="auto"/>
        <w:right w:val="none" w:sz="0" w:space="0" w:color="auto"/>
      </w:divBdr>
      <w:divsChild>
        <w:div w:id="1670792464">
          <w:marLeft w:val="0"/>
          <w:marRight w:val="0"/>
          <w:marTop w:val="720"/>
          <w:marBottom w:val="720"/>
          <w:divBdr>
            <w:top w:val="none" w:sz="0" w:space="0" w:color="auto"/>
            <w:left w:val="none" w:sz="0" w:space="0" w:color="auto"/>
            <w:bottom w:val="none" w:sz="0" w:space="0" w:color="auto"/>
            <w:right w:val="none" w:sz="0" w:space="0" w:color="auto"/>
          </w:divBdr>
          <w:divsChild>
            <w:div w:id="2009942681">
              <w:marLeft w:val="0"/>
              <w:marRight w:val="0"/>
              <w:marTop w:val="0"/>
              <w:marBottom w:val="0"/>
              <w:divBdr>
                <w:top w:val="none" w:sz="0" w:space="0" w:color="auto"/>
                <w:left w:val="none" w:sz="0" w:space="0" w:color="auto"/>
                <w:bottom w:val="none" w:sz="0" w:space="0" w:color="auto"/>
                <w:right w:val="none" w:sz="0" w:space="0" w:color="auto"/>
              </w:divBdr>
              <w:divsChild>
                <w:div w:id="188397871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815033761">
      <w:bodyDiv w:val="1"/>
      <w:marLeft w:val="0"/>
      <w:marRight w:val="0"/>
      <w:marTop w:val="0"/>
      <w:marBottom w:val="0"/>
      <w:divBdr>
        <w:top w:val="none" w:sz="0" w:space="0" w:color="auto"/>
        <w:left w:val="none" w:sz="0" w:space="0" w:color="auto"/>
        <w:bottom w:val="none" w:sz="0" w:space="0" w:color="auto"/>
        <w:right w:val="none" w:sz="0" w:space="0" w:color="auto"/>
      </w:divBdr>
    </w:div>
    <w:div w:id="1025331853">
      <w:bodyDiv w:val="1"/>
      <w:marLeft w:val="0"/>
      <w:marRight w:val="0"/>
      <w:marTop w:val="0"/>
      <w:marBottom w:val="0"/>
      <w:divBdr>
        <w:top w:val="none" w:sz="0" w:space="0" w:color="auto"/>
        <w:left w:val="none" w:sz="0" w:space="0" w:color="auto"/>
        <w:bottom w:val="none" w:sz="0" w:space="0" w:color="auto"/>
        <w:right w:val="none" w:sz="0" w:space="0" w:color="auto"/>
      </w:divBdr>
      <w:divsChild>
        <w:div w:id="1885024868">
          <w:marLeft w:val="0"/>
          <w:marRight w:val="0"/>
          <w:marTop w:val="0"/>
          <w:marBottom w:val="0"/>
          <w:divBdr>
            <w:top w:val="none" w:sz="0" w:space="0" w:color="auto"/>
            <w:left w:val="none" w:sz="0" w:space="0" w:color="auto"/>
            <w:bottom w:val="none" w:sz="0" w:space="0" w:color="auto"/>
            <w:right w:val="none" w:sz="0" w:space="0" w:color="auto"/>
          </w:divBdr>
          <w:divsChild>
            <w:div w:id="415053103">
              <w:marLeft w:val="0"/>
              <w:marRight w:val="0"/>
              <w:marTop w:val="0"/>
              <w:marBottom w:val="0"/>
              <w:divBdr>
                <w:top w:val="none" w:sz="0" w:space="0" w:color="auto"/>
                <w:left w:val="none" w:sz="0" w:space="0" w:color="auto"/>
                <w:bottom w:val="none" w:sz="0" w:space="0" w:color="auto"/>
                <w:right w:val="none" w:sz="0" w:space="0" w:color="auto"/>
              </w:divBdr>
              <w:divsChild>
                <w:div w:id="1706514559">
                  <w:marLeft w:val="0"/>
                  <w:marRight w:val="0"/>
                  <w:marTop w:val="0"/>
                  <w:marBottom w:val="0"/>
                  <w:divBdr>
                    <w:top w:val="none" w:sz="0" w:space="0" w:color="auto"/>
                    <w:left w:val="none" w:sz="0" w:space="0" w:color="auto"/>
                    <w:bottom w:val="none" w:sz="0" w:space="0" w:color="auto"/>
                    <w:right w:val="none" w:sz="0" w:space="0" w:color="auto"/>
                  </w:divBdr>
                  <w:divsChild>
                    <w:div w:id="1643732991">
                      <w:marLeft w:val="0"/>
                      <w:marRight w:val="0"/>
                      <w:marTop w:val="0"/>
                      <w:marBottom w:val="0"/>
                      <w:divBdr>
                        <w:top w:val="none" w:sz="0" w:space="0" w:color="auto"/>
                        <w:left w:val="none" w:sz="0" w:space="0" w:color="auto"/>
                        <w:bottom w:val="none" w:sz="0" w:space="0" w:color="auto"/>
                        <w:right w:val="none" w:sz="0" w:space="0" w:color="auto"/>
                      </w:divBdr>
                      <w:divsChild>
                        <w:div w:id="1265648911">
                          <w:marLeft w:val="0"/>
                          <w:marRight w:val="0"/>
                          <w:marTop w:val="0"/>
                          <w:marBottom w:val="0"/>
                          <w:divBdr>
                            <w:top w:val="none" w:sz="0" w:space="0" w:color="auto"/>
                            <w:left w:val="none" w:sz="0" w:space="0" w:color="auto"/>
                            <w:bottom w:val="none" w:sz="0" w:space="0" w:color="auto"/>
                            <w:right w:val="none" w:sz="0" w:space="0" w:color="auto"/>
                          </w:divBdr>
                          <w:divsChild>
                            <w:div w:id="226914067">
                              <w:marLeft w:val="0"/>
                              <w:marRight w:val="0"/>
                              <w:marTop w:val="0"/>
                              <w:marBottom w:val="75"/>
                              <w:divBdr>
                                <w:top w:val="none" w:sz="0" w:space="0" w:color="auto"/>
                                <w:left w:val="none" w:sz="0" w:space="0" w:color="auto"/>
                                <w:bottom w:val="none" w:sz="0" w:space="0" w:color="auto"/>
                                <w:right w:val="none" w:sz="0" w:space="0" w:color="auto"/>
                              </w:divBdr>
                              <w:divsChild>
                                <w:div w:id="466583358">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dena.euskadi.eus/y09-contents/es/contenidos/informacion/expedientes_acceso_informacion/es_def/index.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CVAIP_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6CF14-3B98-445E-9029-D7277527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CVAIP_resolucion.dotx</Template>
  <TotalTime>0</TotalTime>
  <Pages>5</Pages>
  <Words>1780</Words>
  <Characters>10151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Gutiérrez Rodríguez, Marisol</dc:creator>
  <cp:lastModifiedBy>Labaka Arruabarrena, Miren</cp:lastModifiedBy>
  <cp:revision>2</cp:revision>
  <cp:lastPrinted>2016-12-02T12:39:00Z</cp:lastPrinted>
  <dcterms:created xsi:type="dcterms:W3CDTF">2021-08-31T09:44:00Z</dcterms:created>
  <dcterms:modified xsi:type="dcterms:W3CDTF">2021-08-31T09:44:00Z</dcterms:modified>
</cp:coreProperties>
</file>